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采购清单</w:t>
      </w:r>
    </w:p>
    <w:p>
      <w:pPr>
        <w:pStyle w:val="8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一、11层展示厅设计装修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面积约为120平方米，主要展示集团介绍、发展历程及党建相关内容。</w:t>
      </w:r>
    </w:p>
    <w:p>
      <w:pPr>
        <w:pStyle w:val="8"/>
        <w:rPr>
          <w:rFonts w:hint="default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drawing>
          <wp:inline distT="0" distB="0" distL="0" distR="0">
            <wp:extent cx="5735320" cy="3254375"/>
            <wp:effectExtent l="0" t="0" r="17780" b="254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3255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二、新办公场所10-15层标识系统设计制作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包括但不限于：电梯厅内导视牌、前台背景墙、部门科室牌、玻璃门窗醒示性装饰带、室内企业精神口号标牌、公告栏等。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三、VI设计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widowControl w:val="0"/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32"/>
          <w:szCs w:val="32"/>
          <w:lang w:val="en-US" w:eastAsia="zh-CN"/>
        </w:rPr>
        <w:t>（一）VI基础设计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1.企业标志规范：在集团原先LOGO基础上进行统一、规范。包括但不限于：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（1）企业标志释义设计说明、企业标志标准化制图、企业标志彩色效果展示。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（2）标识基础要素规范：标志竖式方格及最小保护空间和尺寸、标志与联系方式组合、标志墨稿、反白效果稿、标志的错误使用。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企业标准字体规范：企业简称中文字体、企业简称英文字体、企业全称中文字体、企业全称英文字体、企业全称中英文字体组合（竖排）、企业全称中英文字体组合（横排）、企业全称中文字体、企业全称英文字体、企业标志与联系方式中英文组合、企业标志与联系方式中文组合、企业标志与联系方式英文组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企业标准色规范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企业标准色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企业辅助色（印刷演色法）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色彩搭配专用表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（5）辅助图形规范：辅助图形彩稿、辅助图形墨稿、辅助底纹使用规范。</w:t>
      </w:r>
    </w:p>
    <w:p>
      <w:pPr>
        <w:widowControl w:val="0"/>
        <w:adjustRightInd w:val="0"/>
        <w:snapToGrid w:val="0"/>
        <w:spacing w:line="560" w:lineRule="exact"/>
        <w:ind w:firstLine="640" w:firstLineChars="200"/>
        <w:rPr>
          <w:rFonts w:hint="default" w:ascii="楷体" w:hAnsi="楷体" w:eastAsia="楷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kern w:val="0"/>
          <w:sz w:val="32"/>
          <w:szCs w:val="32"/>
          <w:lang w:val="en-US" w:eastAsia="zh-CN"/>
        </w:rPr>
        <w:t>（二）VI应用设计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办公形象应用规范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：包括但不限于名片、专用信封、信纸、便笺、工作证（识别卡）、工号牌、胸卡及挂带、台签、办公用笔、笔筒（三合一，含便签盒等）、笔记本、茶杯、杯垫、意见箱、PPT演示背景板等。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i w:val="0"/>
          <w:color w:val="auto"/>
          <w:kern w:val="2"/>
          <w:sz w:val="32"/>
          <w:szCs w:val="32"/>
          <w:u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2.宣传制品应用规范：宣传册、邀请函及封套、台历版式规范、手提袋、标识伞、纸巾盒、茶杯等。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default" w:ascii="黑体" w:hAnsi="黑体" w:eastAsia="黑体" w:cs="黑体"/>
          <w:i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olor w:val="auto"/>
          <w:kern w:val="2"/>
          <w:sz w:val="32"/>
          <w:szCs w:val="32"/>
          <w:u w:val="none"/>
          <w:lang w:val="en-US" w:eastAsia="zh-CN"/>
        </w:rPr>
        <w:t>附件2</w:t>
      </w:r>
    </w:p>
    <w:p>
      <w:pPr>
        <w:pStyle w:val="8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outlineLvl w:val="0"/>
        <w:rPr>
          <w:rFonts w:hint="eastAsia" w:ascii="方正小标宋简体" w:hAnsi="Calibri" w:eastAsia="方正小标宋简体" w:cs="Times New Roman"/>
          <w:i w:val="0"/>
          <w:color w:val="auto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i w:val="0"/>
          <w:color w:val="auto"/>
          <w:kern w:val="2"/>
          <w:sz w:val="44"/>
          <w:szCs w:val="44"/>
          <w:u w:val="none"/>
          <w:lang w:val="en-US" w:eastAsia="zh-CN"/>
        </w:rPr>
        <w:t>评审办法</w:t>
      </w:r>
    </w:p>
    <w:p>
      <w:pPr>
        <w:pStyle w:val="8"/>
        <w:rPr>
          <w:rFonts w:hint="eastAsia"/>
          <w:lang w:val="en-US" w:eastAsia="zh-CN"/>
        </w:rPr>
      </w:pPr>
    </w:p>
    <w:tbl>
      <w:tblPr>
        <w:tblStyle w:val="21"/>
        <w:tblW w:w="894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573"/>
        <w:gridCol w:w="765"/>
        <w:gridCol w:w="59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637" w:type="dxa"/>
            <w:tcBorders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57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评分项目</w:t>
            </w:r>
          </w:p>
        </w:tc>
        <w:tc>
          <w:tcPr>
            <w:tcW w:w="7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分值</w:t>
            </w:r>
          </w:p>
        </w:tc>
        <w:tc>
          <w:tcPr>
            <w:tcW w:w="5965" w:type="dxa"/>
            <w:tcBorders>
              <w:left w:val="single" w:color="000000" w:sz="8" w:space="0"/>
              <w:bottom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评分标准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637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方案设计</w:t>
            </w:r>
          </w:p>
        </w:tc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55分</w:t>
            </w:r>
          </w:p>
        </w:tc>
        <w:tc>
          <w:tcPr>
            <w:tcW w:w="5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1.展示厅主题突出，构思巧妙，设计新颖。（15分）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赋分标准：优秀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分，良好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分，一般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637" w:type="dxa"/>
            <w:vMerge w:val="continue"/>
            <w:tcBorders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2.展示厅空间安排合理，功能划分清晰，能满足集团企业文化、党建活动、业务成果、发展规划等多方面需求。（25分）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赋分标准：优秀25-18分，良好17-10分，一般9-1分。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637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3.新办公场所10-15层标识系统设计制作亮点特色突出，符合公司类金融服务特点，有助于对外展示集团形象品牌。（5分）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赋分标准：优秀5-4分，良好3-2分，一般1分。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637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4.VI设计定位精准，整体创意、风格、表现形式能较好结合集团实际，满足未来发展需要。（10）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赋分标准：优秀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10-8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分，良好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7-5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分，一般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4-1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 w:hRule="atLeast"/>
        </w:trPr>
        <w:tc>
          <w:tcPr>
            <w:tcW w:w="6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质量管理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10分</w:t>
            </w:r>
          </w:p>
        </w:tc>
        <w:tc>
          <w:tcPr>
            <w:tcW w:w="5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对于项目现场质量管理、相关制度和现场的监督方面、后续保修服务等情况。项目工期是否满足要求，进度计划是否详尽、合理、进度计划与工期安排是否衔接对应。以上相关承诺将同时体现在采购合同签订中。（10分）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赋分标准：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10-8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分，良好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7-5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分，一般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4-1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6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服务报价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35分</w:t>
            </w:r>
          </w:p>
        </w:tc>
        <w:tc>
          <w:tcPr>
            <w:tcW w:w="59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1.采用价格排名法：价格最低的排第一名得分20分、第二名18分、第三名16分，得分根据排名名次递减2分。该项按标准计算得分，该项总分不超过20分。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（报价得分 =最低报价金额（元）/当前报价金额（元）* 分值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该项按公式计算得分，该项总分不超过1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分。</w:t>
            </w:r>
          </w:p>
        </w:tc>
      </w:tr>
    </w:tbl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黑体" w:hAnsi="黑体" w:eastAsia="黑体" w:cs="黑体"/>
          <w:i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olor w:val="auto"/>
          <w:kern w:val="2"/>
          <w:sz w:val="32"/>
          <w:szCs w:val="32"/>
          <w:u w:val="none"/>
          <w:lang w:val="en-US" w:eastAsia="zh-CN"/>
        </w:rPr>
        <w:t>附件3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i w:val="0"/>
          <w:color w:val="auto"/>
          <w:kern w:val="2"/>
          <w:sz w:val="32"/>
          <w:szCs w:val="32"/>
          <w:u w:val="none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2"/>
          <w:sz w:val="44"/>
          <w:szCs w:val="44"/>
          <w:u w:val="none"/>
          <w:lang w:val="en-US" w:eastAsia="zh-CN"/>
        </w:rPr>
        <w:t>报价单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auto"/>
          <w:kern w:val="2"/>
          <w:sz w:val="32"/>
          <w:szCs w:val="32"/>
          <w:u w:val="none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/>
        </w:rPr>
        <w:t>应答方单位名称：</w:t>
      </w: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/>
        </w:rPr>
        <w:t>（加盖公章）</w:t>
      </w: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u w:val="none"/>
          <w:lang w:val="en-US" w:eastAsia="zh-CN"/>
        </w:rPr>
        <w:t>项目名称：金投集团新办公场所展厅和标识系统设计装修及VI设计项目</w:t>
      </w:r>
    </w:p>
    <w:tbl>
      <w:tblPr>
        <w:tblStyle w:val="22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4531" w:type="dxa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11层展示厅设计装修</w:t>
            </w:r>
          </w:p>
        </w:tc>
        <w:tc>
          <w:tcPr>
            <w:tcW w:w="4531" w:type="dxa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10-15层标识系统设计制作以及VI设计</w:t>
            </w:r>
          </w:p>
        </w:tc>
        <w:tc>
          <w:tcPr>
            <w:tcW w:w="4531" w:type="dxa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4531" w:type="dxa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黑体" w:hAnsi="黑体" w:eastAsia="黑体" w:cs="黑体"/>
          <w:i w:val="0"/>
          <w:color w:val="auto"/>
          <w:kern w:val="2"/>
          <w:sz w:val="32"/>
          <w:szCs w:val="32"/>
          <w:u w:val="none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i w:val="0"/>
          <w:color w:val="auto"/>
          <w:kern w:val="2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FasDMH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56A08"/>
    <w:rsid w:val="1938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3">
    <w:name w:val="Default Paragraph Font"/>
    <w:qFormat/>
    <w:uiPriority w:val="0"/>
  </w:style>
  <w:style w:type="table" w:default="1" w:styleId="2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3"/>
    <w:basedOn w:val="1"/>
    <w:qFormat/>
    <w:uiPriority w:val="0"/>
    <w:rPr>
      <w:rFonts w:ascii="宋体"/>
      <w:sz w:val="24"/>
      <w:szCs w:val="20"/>
    </w:rPr>
  </w:style>
  <w:style w:type="paragraph" w:styleId="8">
    <w:name w:val="Body Text"/>
    <w:basedOn w:val="1"/>
    <w:next w:val="9"/>
    <w:qFormat/>
    <w:uiPriority w:val="0"/>
    <w:pPr>
      <w:spacing w:after="120"/>
    </w:pPr>
  </w:style>
  <w:style w:type="paragraph" w:styleId="9">
    <w:name w:val="Body Text First Indent"/>
    <w:basedOn w:val="8"/>
    <w:qFormat/>
    <w:uiPriority w:val="99"/>
    <w:pPr>
      <w:ind w:firstLine="420" w:firstLineChars="100"/>
    </w:pPr>
  </w:style>
  <w:style w:type="paragraph" w:styleId="10">
    <w:name w:val="Body Text Indent"/>
    <w:basedOn w:val="1"/>
    <w:qFormat/>
    <w:uiPriority w:val="99"/>
    <w:pPr>
      <w:spacing w:afterLines="25" w:line="300" w:lineRule="auto"/>
      <w:ind w:firstLine="420" w:firstLineChars="200"/>
    </w:pPr>
    <w:rPr>
      <w:sz w:val="24"/>
    </w:rPr>
  </w:style>
  <w:style w:type="paragraph" w:styleId="11">
    <w:name w:val="toc 3"/>
    <w:basedOn w:val="1"/>
    <w:next w:val="1"/>
    <w:qFormat/>
    <w:uiPriority w:val="39"/>
    <w:pPr>
      <w:ind w:left="840" w:leftChars="400"/>
    </w:pPr>
  </w:style>
  <w:style w:type="paragraph" w:styleId="12">
    <w:name w:val="Plain Text"/>
    <w:basedOn w:val="1"/>
    <w:qFormat/>
    <w:uiPriority w:val="0"/>
    <w:rPr>
      <w:rFonts w:ascii="宋体" w:hAnsi="Courier New"/>
      <w:szCs w:val="20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right" w:leader="dot" w:pos="8296"/>
      </w:tabs>
      <w:spacing w:line="440" w:lineRule="exact"/>
      <w:jc w:val="center"/>
    </w:pPr>
    <w:rPr>
      <w:rFonts w:ascii="宋体" w:hAnsi="宋体"/>
      <w:color w:val="000000"/>
    </w:rPr>
  </w:style>
  <w:style w:type="paragraph" w:styleId="16">
    <w:name w:val="footnote text"/>
    <w:basedOn w:val="1"/>
    <w:qFormat/>
    <w:uiPriority w:val="0"/>
    <w:pPr>
      <w:snapToGrid w:val="0"/>
      <w:jc w:val="left"/>
    </w:pPr>
    <w:rPr>
      <w:rFonts w:eastAsia="仿宋_GB2312"/>
      <w:sz w:val="18"/>
      <w:szCs w:val="20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296"/>
      </w:tabs>
      <w:spacing w:line="360" w:lineRule="auto"/>
      <w:ind w:left="420" w:leftChars="200"/>
    </w:pPr>
  </w:style>
  <w:style w:type="paragraph" w:styleId="1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9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20">
    <w:name w:val="Body Text First Indent 2"/>
    <w:basedOn w:val="10"/>
    <w:qFormat/>
    <w:uiPriority w:val="0"/>
    <w:pPr>
      <w:spacing w:line="240" w:lineRule="auto"/>
      <w:ind w:left="420" w:leftChars="200"/>
    </w:pPr>
    <w:rPr>
      <w:rFonts w:ascii="Arial" w:hAnsi="Arial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footnote reference"/>
    <w:qFormat/>
    <w:uiPriority w:val="0"/>
    <w:rPr>
      <w:vertAlign w:val="superscript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29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30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31">
    <w:name w:val="样式 样式1 + 首行缩进:  2 字符"/>
    <w:basedOn w:val="1"/>
    <w:qFormat/>
    <w:uiPriority w:val="0"/>
    <w:pPr>
      <w:spacing w:line="360" w:lineRule="exact"/>
      <w:ind w:firstLine="420" w:firstLineChars="200"/>
    </w:pPr>
    <w:rPr>
      <w:rFonts w:ascii="Arial" w:hAnsi="Arial" w:cs="宋体"/>
      <w:szCs w:val="20"/>
    </w:rPr>
  </w:style>
  <w:style w:type="paragraph" w:customStyle="1" w:styleId="32">
    <w:name w:val="样式 标题 3 + Arial"/>
    <w:basedOn w:val="4"/>
    <w:qFormat/>
    <w:uiPriority w:val="0"/>
    <w:pPr>
      <w:spacing w:before="100" w:beforeLines="100" w:after="0" w:line="360" w:lineRule="auto"/>
    </w:pPr>
    <w:rPr>
      <w:rFonts w:ascii="Arial" w:hAnsi="Arial"/>
      <w:sz w:val="24"/>
    </w:rPr>
  </w:style>
  <w:style w:type="paragraph" w:customStyle="1" w:styleId="33">
    <w:name w:val="表格文字"/>
    <w:next w:val="1"/>
    <w:qFormat/>
    <w:uiPriority w:val="0"/>
    <w:pPr>
      <w:widowControl w:val="0"/>
      <w:adjustRightInd w:val="0"/>
      <w:spacing w:line="420" w:lineRule="atLeast"/>
      <w:textAlignment w:val="baseline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2240</Words>
  <Characters>2406</Characters>
  <Paragraphs>172</Paragraphs>
  <TotalTime>47</TotalTime>
  <ScaleCrop>false</ScaleCrop>
  <LinksUpToDate>false</LinksUpToDate>
  <CharactersWithSpaces>2466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2020-12-14T06:30:00Z</dcterms:created>
  <dc:creator>胡丹妮</dc:creator>
  <cp:lastModifiedBy>朱旭阳</cp:lastModifiedBy>
  <cp:lastPrinted>2021-12-23T03:08:00Z</cp:lastPrinted>
  <dcterms:modified xsi:type="dcterms:W3CDTF">2021-12-24T06:08:10Z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5814006417B442E288A6DE1159D216AF</vt:lpwstr>
  </property>
</Properties>
</file>