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帆软报表系统采购需求清单</w:t>
      </w:r>
    </w:p>
    <w:p>
      <w:pPr>
        <w:rPr>
          <w:rFonts w:hint="default"/>
          <w:lang w:val="en-US" w:eastAsia="zh-CN"/>
        </w:rPr>
      </w:pPr>
    </w:p>
    <w:p>
      <w:pPr>
        <w:pStyle w:val="7"/>
        <w:ind w:left="0" w:leftChars="0"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本次采购的帆软公司报表系统授权，包含以下模块及服务。</w:t>
      </w:r>
    </w:p>
    <w:tbl>
      <w:tblPr>
        <w:tblStyle w:val="20"/>
        <w:tblW w:w="885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63"/>
        <w:gridCol w:w="4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ind w:left="0" w:leftChars="0" w:firstLine="0" w:firstLineChars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模块功能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报表-Report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多数据源关联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多sheet报表设计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多报表运行环境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增强分析统计模块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参数查询界面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模板权限集成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Alpha Fine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打印导出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远程设计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H5动态图表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模板助手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仪表盘-Dashboard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决策报表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FRMBS布局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聚合报表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组件式设计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Word报告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填报-Data filling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数据录入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数据多级上报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Excel导入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门户-Portal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决策平台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定时调度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智能运维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集团权限控制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短信平台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高级图表-Chart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图表高级交互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扩展图表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地图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移动端-Mobile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移动决策平台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移动端报表展现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APP打包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微信集成插件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钉钉集成插件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原厂服务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DEDED" w:fill="FFFFFF" w:themeFill="background1"/>
            <w:vAlign w:val="center"/>
          </w:tcPr>
          <w:p>
            <w:pPr>
              <w:pStyle w:val="7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5人天驻场实施及1年维保服务</w:t>
            </w:r>
          </w:p>
        </w:tc>
      </w:tr>
    </w:tbl>
    <w:p>
      <w:pPr>
        <w:pStyle w:val="7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ascii="宋体" w:hAnsi="宋体" w:eastAsia="宋体"/>
          <w:szCs w:val="32"/>
        </w:rPr>
        <w:br w:type="page"/>
      </w:r>
      <w:r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附件2</w:t>
      </w:r>
    </w:p>
    <w:p>
      <w:pPr>
        <w:adjustRightInd w:val="0"/>
        <w:snapToGrid w:val="0"/>
        <w:spacing w:line="60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综合评分表</w:t>
      </w:r>
    </w:p>
    <w:p>
      <w:pPr>
        <w:pStyle w:val="2"/>
      </w:pPr>
    </w:p>
    <w:tbl>
      <w:tblPr>
        <w:tblStyle w:val="20"/>
        <w:tblW w:w="9081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841"/>
        <w:gridCol w:w="5528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条款内容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分值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要点及说明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宋体" w:hAnsi="宋体" w:eastAsia="仿宋" w:cs="Arial"/>
                <w:color w:val="000000"/>
                <w:kern w:val="0"/>
                <w:sz w:val="24"/>
                <w:lang w:val="en-US" w:eastAsia="zh-CN"/>
              </w:rPr>
              <w:t>方案设计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0分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根据应答人提供的项目实施方案【包括：软件的安装调试、软件平台的对接、试运行测试及项目进度保证措施等内容】进行综合评审：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1.方案可操作性强、内容全面详实、部署性合理、项目实施计划安排合理，得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2.方案可操作性较好、内容较详细、部署性较合理、项目实施计划安排一般，得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3.方案可操作性差、部署性不合理，得0-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lang w:val="en-US"/>
              </w:rPr>
            </w:pPr>
            <w:r>
              <w:rPr>
                <w:rFonts w:hint="eastAsia" w:ascii="宋体" w:hAnsi="宋体" w:eastAsia="仿宋" w:cs="Arial"/>
                <w:color w:val="000000"/>
                <w:kern w:val="0"/>
                <w:sz w:val="24"/>
                <w:lang w:val="en-US" w:eastAsia="zh-CN"/>
              </w:rPr>
              <w:t>时间进度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0分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1、应答单位承诺合同签订后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天内（含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天）可完成系统上线，得10分；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2、应答单位承诺合同签订后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0天内（含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0天）可完成系统上线，得7分；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3、应答单位承诺合同签订后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0天内（含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0天）可完成系统上线，得4分；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4、应答单位承诺合同签订后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天以上完成系统上线的，得0分。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仿宋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Arial"/>
                <w:color w:val="000000"/>
                <w:kern w:val="0"/>
                <w:sz w:val="24"/>
                <w:lang w:val="en-US" w:eastAsia="zh-CN"/>
              </w:rPr>
              <w:t>售后服务评分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Arial"/>
                <w:color w:val="000000"/>
                <w:kern w:val="0"/>
                <w:sz w:val="24"/>
                <w:lang w:val="en-US" w:eastAsia="zh-CN"/>
              </w:rPr>
              <w:t>10分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根据服务承诺、响应方式、本地化服务能力（服务网点的详细介绍）及其它服务措施，项目维护方案（对用户故障、用户下线的响应、处理等情况）的可行性、有效性等情况进行打分。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1.方案合理，内容全面详实，结合项目实际，可操作性强的，得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2.方案可操作性较好、内容较详细、部署性较合理、项目实施计划安排一般，得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3.方案可操作性差、部署性不合理，得0-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服务报价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0分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综合评分法中的价格分统一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  <w:t>采用低价优先法计算，即满足磋商文件要求且最后报价最低的供应商的价格作为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评分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  <w:t>基准价，其报价得满分。其他供应商的价格分统一按照下列公式计算：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报价得分=(评分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 w:bidi="ar"/>
              </w:rPr>
              <w:t>基准价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／最后报价)×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0%×100。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宋体" w:hAnsi="宋体" w:eastAsia="宋体"/>
          <w:szCs w:val="32"/>
        </w:rPr>
      </w:pPr>
      <w:r>
        <w:rPr>
          <w:rFonts w:ascii="宋体" w:hAnsi="宋体" w:eastAsia="宋体"/>
          <w:szCs w:val="32"/>
        </w:rPr>
        <w:br w:type="page"/>
      </w:r>
    </w:p>
    <w:p>
      <w:pPr>
        <w:rPr>
          <w:rFonts w:ascii="宋体" w:hAnsi="宋体" w:eastAsia="宋体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both"/>
        <w:textAlignment w:val="auto"/>
        <w:rPr>
          <w:rFonts w:hint="default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附件3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2"/>
          <w:sz w:val="44"/>
          <w:szCs w:val="44"/>
          <w:u w:val="none"/>
          <w:lang w:val="en-US" w:eastAsia="zh-CN" w:bidi="ar"/>
        </w:rPr>
        <w:t>报价单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应答方单位名称：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（加盖公章）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项目名称：市金投集团帆软报表系统采购项目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tbl>
      <w:tblPr>
        <w:tblStyle w:val="2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  <w:t>项目类别</w:t>
            </w:r>
          </w:p>
        </w:tc>
        <w:tc>
          <w:tcPr>
            <w:tcW w:w="453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  <w:t>市金投集团帆软报表系统采购项目</w:t>
            </w:r>
          </w:p>
        </w:tc>
        <w:tc>
          <w:tcPr>
            <w:tcW w:w="453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both"/>
        <w:textAlignment w:val="auto"/>
        <w:rPr>
          <w:rFonts w:hint="default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62D5"/>
    <w:multiLevelType w:val="singleLevel"/>
    <w:tmpl w:val="163E62D5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DFE"/>
    <w:rsid w:val="000161DF"/>
    <w:rsid w:val="00026F34"/>
    <w:rsid w:val="0006314B"/>
    <w:rsid w:val="000869F6"/>
    <w:rsid w:val="00095FDF"/>
    <w:rsid w:val="000C3998"/>
    <w:rsid w:val="000F5DF5"/>
    <w:rsid w:val="00100A9B"/>
    <w:rsid w:val="0011779E"/>
    <w:rsid w:val="00132F8B"/>
    <w:rsid w:val="00157EC0"/>
    <w:rsid w:val="00172A27"/>
    <w:rsid w:val="00195895"/>
    <w:rsid w:val="001A3D39"/>
    <w:rsid w:val="001D7082"/>
    <w:rsid w:val="001E4D9B"/>
    <w:rsid w:val="002138AD"/>
    <w:rsid w:val="002468F1"/>
    <w:rsid w:val="002644F3"/>
    <w:rsid w:val="00337EC9"/>
    <w:rsid w:val="003B222B"/>
    <w:rsid w:val="00452FF5"/>
    <w:rsid w:val="00481FD8"/>
    <w:rsid w:val="004846A7"/>
    <w:rsid w:val="004976A8"/>
    <w:rsid w:val="004B6DE4"/>
    <w:rsid w:val="005102FC"/>
    <w:rsid w:val="0053564A"/>
    <w:rsid w:val="005451E6"/>
    <w:rsid w:val="00553B76"/>
    <w:rsid w:val="00566E77"/>
    <w:rsid w:val="005A4468"/>
    <w:rsid w:val="005F0EB1"/>
    <w:rsid w:val="005F758E"/>
    <w:rsid w:val="00605E88"/>
    <w:rsid w:val="00693606"/>
    <w:rsid w:val="006A7D24"/>
    <w:rsid w:val="006C0745"/>
    <w:rsid w:val="006C38AD"/>
    <w:rsid w:val="006D3577"/>
    <w:rsid w:val="006F2322"/>
    <w:rsid w:val="007132F9"/>
    <w:rsid w:val="007C3B4F"/>
    <w:rsid w:val="0083460F"/>
    <w:rsid w:val="00835DBF"/>
    <w:rsid w:val="00836490"/>
    <w:rsid w:val="00857577"/>
    <w:rsid w:val="00862F3B"/>
    <w:rsid w:val="0087346A"/>
    <w:rsid w:val="00891D38"/>
    <w:rsid w:val="008A2500"/>
    <w:rsid w:val="008B0801"/>
    <w:rsid w:val="008C0234"/>
    <w:rsid w:val="009123A7"/>
    <w:rsid w:val="009234E1"/>
    <w:rsid w:val="00923F52"/>
    <w:rsid w:val="00945A13"/>
    <w:rsid w:val="009F57BF"/>
    <w:rsid w:val="00A142E6"/>
    <w:rsid w:val="00A25F04"/>
    <w:rsid w:val="00A6078F"/>
    <w:rsid w:val="00A93F85"/>
    <w:rsid w:val="00AA0EA1"/>
    <w:rsid w:val="00B66F82"/>
    <w:rsid w:val="00B6740A"/>
    <w:rsid w:val="00BD7AAA"/>
    <w:rsid w:val="00C13ADA"/>
    <w:rsid w:val="00C15A31"/>
    <w:rsid w:val="00C455CD"/>
    <w:rsid w:val="00C679E3"/>
    <w:rsid w:val="00CA3361"/>
    <w:rsid w:val="00CC2133"/>
    <w:rsid w:val="00D07A7C"/>
    <w:rsid w:val="00D174EA"/>
    <w:rsid w:val="00D30B26"/>
    <w:rsid w:val="00D368C1"/>
    <w:rsid w:val="00D84347"/>
    <w:rsid w:val="00E04154"/>
    <w:rsid w:val="00E116DD"/>
    <w:rsid w:val="00E12513"/>
    <w:rsid w:val="00E46858"/>
    <w:rsid w:val="00E80203"/>
    <w:rsid w:val="00E87E28"/>
    <w:rsid w:val="00ED4668"/>
    <w:rsid w:val="00EF7A54"/>
    <w:rsid w:val="00F562C0"/>
    <w:rsid w:val="00FD24C8"/>
    <w:rsid w:val="00FE2822"/>
    <w:rsid w:val="00FE6D5E"/>
    <w:rsid w:val="01D6392D"/>
    <w:rsid w:val="047B013D"/>
    <w:rsid w:val="04882A96"/>
    <w:rsid w:val="05692D02"/>
    <w:rsid w:val="061D24A6"/>
    <w:rsid w:val="0620539A"/>
    <w:rsid w:val="0674203D"/>
    <w:rsid w:val="06B44B92"/>
    <w:rsid w:val="07151B67"/>
    <w:rsid w:val="099865CB"/>
    <w:rsid w:val="0AD9058A"/>
    <w:rsid w:val="0B4F650B"/>
    <w:rsid w:val="0B5269BD"/>
    <w:rsid w:val="0B5A128C"/>
    <w:rsid w:val="0BC053DE"/>
    <w:rsid w:val="0BD60302"/>
    <w:rsid w:val="0BEB06C0"/>
    <w:rsid w:val="0C9C6362"/>
    <w:rsid w:val="0CA77045"/>
    <w:rsid w:val="0D3A4201"/>
    <w:rsid w:val="0D3B4EB3"/>
    <w:rsid w:val="0D954870"/>
    <w:rsid w:val="0D984F38"/>
    <w:rsid w:val="0E050950"/>
    <w:rsid w:val="0E32346C"/>
    <w:rsid w:val="0F4A01AB"/>
    <w:rsid w:val="0F6B2AE5"/>
    <w:rsid w:val="0FAB2F06"/>
    <w:rsid w:val="116C5C23"/>
    <w:rsid w:val="12AD2A91"/>
    <w:rsid w:val="13371A25"/>
    <w:rsid w:val="13920935"/>
    <w:rsid w:val="13B5652A"/>
    <w:rsid w:val="146974E1"/>
    <w:rsid w:val="146976B9"/>
    <w:rsid w:val="14A21C2B"/>
    <w:rsid w:val="16860D56"/>
    <w:rsid w:val="16CD06E6"/>
    <w:rsid w:val="17BA2B89"/>
    <w:rsid w:val="184717D7"/>
    <w:rsid w:val="18620DC2"/>
    <w:rsid w:val="1A0427E2"/>
    <w:rsid w:val="1B3C3639"/>
    <w:rsid w:val="1BA21436"/>
    <w:rsid w:val="1D964065"/>
    <w:rsid w:val="1F0F0F1F"/>
    <w:rsid w:val="1F4C2C9E"/>
    <w:rsid w:val="1FD33488"/>
    <w:rsid w:val="20040DBE"/>
    <w:rsid w:val="200C30AF"/>
    <w:rsid w:val="205E57C4"/>
    <w:rsid w:val="20B5162F"/>
    <w:rsid w:val="22870982"/>
    <w:rsid w:val="24866AC4"/>
    <w:rsid w:val="24CE3E2F"/>
    <w:rsid w:val="258C553B"/>
    <w:rsid w:val="26506E44"/>
    <w:rsid w:val="26543980"/>
    <w:rsid w:val="278B1DF9"/>
    <w:rsid w:val="27C971C9"/>
    <w:rsid w:val="2839542F"/>
    <w:rsid w:val="28BF56F9"/>
    <w:rsid w:val="290B6BC5"/>
    <w:rsid w:val="2AE03345"/>
    <w:rsid w:val="2CF43C93"/>
    <w:rsid w:val="2D2148B7"/>
    <w:rsid w:val="2ED177E4"/>
    <w:rsid w:val="2F1C714D"/>
    <w:rsid w:val="2F3B1BD8"/>
    <w:rsid w:val="2F9839AA"/>
    <w:rsid w:val="2FAA173F"/>
    <w:rsid w:val="2FF119DD"/>
    <w:rsid w:val="30833E76"/>
    <w:rsid w:val="309C5487"/>
    <w:rsid w:val="30D1304D"/>
    <w:rsid w:val="31045F9B"/>
    <w:rsid w:val="32284588"/>
    <w:rsid w:val="32657593"/>
    <w:rsid w:val="335657AA"/>
    <w:rsid w:val="33CA50FA"/>
    <w:rsid w:val="34B40B57"/>
    <w:rsid w:val="353E021E"/>
    <w:rsid w:val="354C7B8D"/>
    <w:rsid w:val="35C16208"/>
    <w:rsid w:val="35CC0821"/>
    <w:rsid w:val="35D20080"/>
    <w:rsid w:val="373643FC"/>
    <w:rsid w:val="374534D2"/>
    <w:rsid w:val="37EF3277"/>
    <w:rsid w:val="38885DFB"/>
    <w:rsid w:val="38E427E4"/>
    <w:rsid w:val="392421B8"/>
    <w:rsid w:val="39326ACF"/>
    <w:rsid w:val="395440D0"/>
    <w:rsid w:val="39546C5C"/>
    <w:rsid w:val="399A5E4B"/>
    <w:rsid w:val="399C42DA"/>
    <w:rsid w:val="39C43D53"/>
    <w:rsid w:val="3B2842FE"/>
    <w:rsid w:val="3B7478BA"/>
    <w:rsid w:val="3BC337A2"/>
    <w:rsid w:val="3F58378A"/>
    <w:rsid w:val="406A3FD4"/>
    <w:rsid w:val="42DE4D71"/>
    <w:rsid w:val="435F47CE"/>
    <w:rsid w:val="4390302D"/>
    <w:rsid w:val="44094C29"/>
    <w:rsid w:val="4540163E"/>
    <w:rsid w:val="455A122E"/>
    <w:rsid w:val="46DD231E"/>
    <w:rsid w:val="4713633B"/>
    <w:rsid w:val="47BE6301"/>
    <w:rsid w:val="47C876BE"/>
    <w:rsid w:val="47EC7E11"/>
    <w:rsid w:val="47F72080"/>
    <w:rsid w:val="48843186"/>
    <w:rsid w:val="49354209"/>
    <w:rsid w:val="4986305A"/>
    <w:rsid w:val="49B06F03"/>
    <w:rsid w:val="4A244979"/>
    <w:rsid w:val="4B727F70"/>
    <w:rsid w:val="4D133D7C"/>
    <w:rsid w:val="4D1A50F2"/>
    <w:rsid w:val="4DC56907"/>
    <w:rsid w:val="4E7F4338"/>
    <w:rsid w:val="4FD13454"/>
    <w:rsid w:val="503A36CA"/>
    <w:rsid w:val="50695CE9"/>
    <w:rsid w:val="50904A5A"/>
    <w:rsid w:val="50D02E81"/>
    <w:rsid w:val="50E73F64"/>
    <w:rsid w:val="516F2C43"/>
    <w:rsid w:val="52613F36"/>
    <w:rsid w:val="52AB3151"/>
    <w:rsid w:val="536012B4"/>
    <w:rsid w:val="54E05634"/>
    <w:rsid w:val="572E0F2E"/>
    <w:rsid w:val="57AB151A"/>
    <w:rsid w:val="57BA6176"/>
    <w:rsid w:val="5A3D40A4"/>
    <w:rsid w:val="5B241FBA"/>
    <w:rsid w:val="5B904233"/>
    <w:rsid w:val="5C333B54"/>
    <w:rsid w:val="5D37209D"/>
    <w:rsid w:val="5D49320F"/>
    <w:rsid w:val="5EB968FB"/>
    <w:rsid w:val="601A39C4"/>
    <w:rsid w:val="60EF2F94"/>
    <w:rsid w:val="61E6209F"/>
    <w:rsid w:val="63D97DEC"/>
    <w:rsid w:val="64C25016"/>
    <w:rsid w:val="6559551C"/>
    <w:rsid w:val="6589591F"/>
    <w:rsid w:val="65E7420D"/>
    <w:rsid w:val="662C21E4"/>
    <w:rsid w:val="666A12B8"/>
    <w:rsid w:val="6680772B"/>
    <w:rsid w:val="679A4A97"/>
    <w:rsid w:val="67A60A5E"/>
    <w:rsid w:val="688E1767"/>
    <w:rsid w:val="69635E06"/>
    <w:rsid w:val="698A72C5"/>
    <w:rsid w:val="69D33CA3"/>
    <w:rsid w:val="6A670FDE"/>
    <w:rsid w:val="6AB66CFE"/>
    <w:rsid w:val="6ADB0CF4"/>
    <w:rsid w:val="6BA05221"/>
    <w:rsid w:val="6C626BC1"/>
    <w:rsid w:val="6CDF5542"/>
    <w:rsid w:val="6D2A46F0"/>
    <w:rsid w:val="6D366D29"/>
    <w:rsid w:val="6DC8097F"/>
    <w:rsid w:val="6DFC0E1E"/>
    <w:rsid w:val="6EA43109"/>
    <w:rsid w:val="6F4E32B8"/>
    <w:rsid w:val="6F7D01A2"/>
    <w:rsid w:val="6FAB30FC"/>
    <w:rsid w:val="6FD711F0"/>
    <w:rsid w:val="71260B07"/>
    <w:rsid w:val="747E72AE"/>
    <w:rsid w:val="754867CD"/>
    <w:rsid w:val="75606201"/>
    <w:rsid w:val="75B05A28"/>
    <w:rsid w:val="75C454B3"/>
    <w:rsid w:val="7640745B"/>
    <w:rsid w:val="764804F8"/>
    <w:rsid w:val="76AA452B"/>
    <w:rsid w:val="77816CF6"/>
    <w:rsid w:val="79FC64BB"/>
    <w:rsid w:val="7B2F3F93"/>
    <w:rsid w:val="7C5B30CE"/>
    <w:rsid w:val="7E553EC4"/>
    <w:rsid w:val="7E7A01CF"/>
    <w:rsid w:val="7F9D07EC"/>
    <w:rsid w:val="7FE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3"/>
    <w:qFormat/>
    <w:uiPriority w:val="7"/>
    <w:pPr>
      <w:outlineLvl w:val="0"/>
    </w:pPr>
    <w:rPr>
      <w:rFonts w:eastAsia="Times New Roman"/>
      <w:sz w:val="28"/>
      <w:szCs w:val="28"/>
    </w:rPr>
  </w:style>
  <w:style w:type="paragraph" w:styleId="5">
    <w:name w:val="heading 3"/>
    <w:basedOn w:val="1"/>
    <w:next w:val="1"/>
    <w:link w:val="44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45"/>
    <w:unhideWhenUsed/>
    <w:qFormat/>
    <w:uiPriority w:val="99"/>
    <w:pPr>
      <w:spacing w:after="120"/>
    </w:pPr>
  </w:style>
  <w:style w:type="paragraph" w:styleId="3">
    <w:name w:val="Body Text First Indent"/>
    <w:basedOn w:val="2"/>
    <w:link w:val="46"/>
    <w:qFormat/>
    <w:uiPriority w:val="99"/>
    <w:pPr>
      <w:spacing w:line="360" w:lineRule="auto"/>
      <w:ind w:firstLine="200" w:firstLineChars="200"/>
    </w:pPr>
    <w:rPr>
      <w:rFonts w:ascii="Arial" w:hAnsi="Arial"/>
      <w:szCs w:val="21"/>
    </w:rPr>
  </w:style>
  <w:style w:type="paragraph" w:styleId="6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7">
    <w:name w:val="Normal Indent"/>
    <w:basedOn w:val="1"/>
    <w:next w:val="1"/>
    <w:qFormat/>
    <w:uiPriority w:val="0"/>
    <w:pPr>
      <w:ind w:firstLine="420"/>
    </w:pPr>
  </w:style>
  <w:style w:type="paragraph" w:styleId="8">
    <w:name w:val="annotation text"/>
    <w:basedOn w:val="1"/>
    <w:link w:val="37"/>
    <w:qFormat/>
    <w:uiPriority w:val="0"/>
    <w:pPr>
      <w:jc w:val="left"/>
    </w:pPr>
  </w:style>
  <w:style w:type="paragraph" w:styleId="9">
    <w:name w:val="Body Text Indent"/>
    <w:basedOn w:val="1"/>
    <w:next w:val="1"/>
    <w:link w:val="47"/>
    <w:qFormat/>
    <w:uiPriority w:val="99"/>
    <w:pPr>
      <w:spacing w:afterLines="25" w:line="300" w:lineRule="auto"/>
      <w:ind w:firstLine="420" w:firstLineChars="200"/>
    </w:pPr>
    <w:rPr>
      <w:sz w:val="24"/>
    </w:rPr>
  </w:style>
  <w:style w:type="paragraph" w:styleId="10">
    <w:name w:val="Plain Text"/>
    <w:basedOn w:val="1"/>
    <w:link w:val="48"/>
    <w:qFormat/>
    <w:uiPriority w:val="0"/>
    <w:rPr>
      <w:rFonts w:ascii="宋体" w:hAnsi="Courier New" w:eastAsia="宋体"/>
    </w:rPr>
  </w:style>
  <w:style w:type="paragraph" w:styleId="11">
    <w:name w:val="Body Text Indent 2"/>
    <w:basedOn w:val="1"/>
    <w:link w:val="49"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9"/>
    <w:qFormat/>
    <w:uiPriority w:val="0"/>
    <w:rPr>
      <w:sz w:val="18"/>
      <w:szCs w:val="18"/>
    </w:rPr>
  </w:style>
  <w:style w:type="paragraph" w:styleId="13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5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bCs/>
      <w:szCs w:val="32"/>
    </w:rPr>
  </w:style>
  <w:style w:type="paragraph" w:styleId="18">
    <w:name w:val="annotation subject"/>
    <w:basedOn w:val="8"/>
    <w:next w:val="8"/>
    <w:link w:val="38"/>
    <w:qFormat/>
    <w:uiPriority w:val="0"/>
    <w:rPr>
      <w:b/>
      <w:bCs/>
    </w:rPr>
  </w:style>
  <w:style w:type="paragraph" w:styleId="19">
    <w:name w:val="Body Text First Indent 2"/>
    <w:basedOn w:val="9"/>
    <w:link w:val="53"/>
    <w:qFormat/>
    <w:uiPriority w:val="0"/>
    <w:pPr>
      <w:spacing w:afterLines="0" w:line="240" w:lineRule="auto"/>
      <w:ind w:left="420" w:leftChars="200"/>
    </w:pPr>
    <w:rPr>
      <w:rFonts w:ascii="Arial" w:hAnsi="Arial"/>
      <w:sz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qFormat/>
    <w:uiPriority w:val="0"/>
    <w:rPr>
      <w:color w:val="800080"/>
      <w:u w:val="none"/>
    </w:rPr>
  </w:style>
  <w:style w:type="character" w:styleId="26">
    <w:name w:val="Emphasis"/>
    <w:basedOn w:val="22"/>
    <w:qFormat/>
    <w:uiPriority w:val="0"/>
  </w:style>
  <w:style w:type="character" w:styleId="27">
    <w:name w:val="Hyperlink"/>
    <w:basedOn w:val="22"/>
    <w:unhideWhenUsed/>
    <w:qFormat/>
    <w:uiPriority w:val="99"/>
    <w:rPr>
      <w:color w:val="0000FF"/>
      <w:u w:val="none"/>
    </w:rPr>
  </w:style>
  <w:style w:type="character" w:styleId="28">
    <w:name w:val="annotation reference"/>
    <w:basedOn w:val="22"/>
    <w:qFormat/>
    <w:uiPriority w:val="0"/>
    <w:rPr>
      <w:sz w:val="21"/>
      <w:szCs w:val="21"/>
    </w:rPr>
  </w:style>
  <w:style w:type="table" w:customStyle="1" w:styleId="29">
    <w:name w:val="网格型1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font2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2">
    <w:name w:val="正文格式"/>
    <w:basedOn w:val="1"/>
    <w:qFormat/>
    <w:uiPriority w:val="0"/>
    <w:pPr>
      <w:autoSpaceDE w:val="0"/>
      <w:autoSpaceDN w:val="0"/>
      <w:adjustRightInd w:val="0"/>
      <w:spacing w:after="100"/>
      <w:ind w:left="1257" w:leftChars="1257"/>
    </w:pPr>
    <w:rPr>
      <w:rFonts w:ascii="Arial" w:hAnsi="Arial" w:eastAsia="楷体_GB2312"/>
      <w:kern w:val="0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j-lbt-point-right"/>
    <w:basedOn w:val="22"/>
    <w:qFormat/>
    <w:uiPriority w:val="0"/>
    <w:rPr>
      <w:color w:val="FFFFFF"/>
      <w:sz w:val="24"/>
      <w:szCs w:val="24"/>
    </w:rPr>
  </w:style>
  <w:style w:type="character" w:customStyle="1" w:styleId="35">
    <w:name w:val="j-lbt-point-left"/>
    <w:basedOn w:val="22"/>
    <w:qFormat/>
    <w:uiPriority w:val="0"/>
    <w:rPr>
      <w:color w:val="D02200"/>
      <w:sz w:val="26"/>
      <w:szCs w:val="26"/>
    </w:rPr>
  </w:style>
  <w:style w:type="character" w:customStyle="1" w:styleId="36">
    <w:name w:val="j-lbt-point-middle"/>
    <w:basedOn w:val="22"/>
    <w:qFormat/>
    <w:uiPriority w:val="0"/>
    <w:rPr>
      <w:color w:val="FFFFFF"/>
      <w:sz w:val="21"/>
      <w:szCs w:val="21"/>
    </w:rPr>
  </w:style>
  <w:style w:type="character" w:customStyle="1" w:styleId="37">
    <w:name w:val="批注文字 字符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8">
    <w:name w:val="批注主题 字符"/>
    <w:basedOn w:val="37"/>
    <w:link w:val="1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批注框文本 字符"/>
    <w:basedOn w:val="22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0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rFonts w:eastAsia="宋体"/>
      <w:kern w:val="0"/>
      <w:sz w:val="24"/>
      <w:szCs w:val="20"/>
    </w:rPr>
  </w:style>
  <w:style w:type="paragraph" w:customStyle="1" w:styleId="41">
    <w:name w:val="_Style 4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3">
    <w:name w:val="标题 1 字符"/>
    <w:basedOn w:val="22"/>
    <w:link w:val="4"/>
    <w:qFormat/>
    <w:uiPriority w:val="7"/>
    <w:rPr>
      <w:rFonts w:eastAsia="Times New Roman" w:asciiTheme="minorHAnsi" w:hAnsiTheme="minorHAnsi" w:cstheme="minorBidi"/>
      <w:kern w:val="2"/>
      <w:sz w:val="28"/>
      <w:szCs w:val="28"/>
    </w:rPr>
  </w:style>
  <w:style w:type="character" w:customStyle="1" w:styleId="44">
    <w:name w:val="标题 3 字符"/>
    <w:basedOn w:val="22"/>
    <w:link w:val="5"/>
    <w:qFormat/>
    <w:uiPriority w:val="9"/>
    <w:rPr>
      <w:rFonts w:asciiTheme="minorHAnsi" w:hAnsiTheme="minorHAnsi" w:eastAsiaTheme="minorEastAsia" w:cstheme="minorBidi"/>
      <w:b/>
      <w:bCs/>
      <w:kern w:val="2"/>
      <w:sz w:val="21"/>
      <w:szCs w:val="32"/>
    </w:rPr>
  </w:style>
  <w:style w:type="character" w:customStyle="1" w:styleId="45">
    <w:name w:val="正文文本 字符"/>
    <w:basedOn w:val="22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6">
    <w:name w:val="正文文本首行缩进 字符"/>
    <w:basedOn w:val="45"/>
    <w:link w:val="3"/>
    <w:qFormat/>
    <w:uiPriority w:val="99"/>
    <w:rPr>
      <w:rFonts w:ascii="Arial" w:hAnsi="Arial" w:eastAsiaTheme="minorEastAsia" w:cstheme="minorBidi"/>
      <w:kern w:val="2"/>
      <w:sz w:val="21"/>
      <w:szCs w:val="21"/>
    </w:rPr>
  </w:style>
  <w:style w:type="character" w:customStyle="1" w:styleId="47">
    <w:name w:val="正文文本缩进 字符"/>
    <w:basedOn w:val="22"/>
    <w:link w:val="9"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48">
    <w:name w:val="纯文本 字符"/>
    <w:basedOn w:val="22"/>
    <w:link w:val="10"/>
    <w:qFormat/>
    <w:uiPriority w:val="0"/>
    <w:rPr>
      <w:rFonts w:ascii="宋体" w:hAnsi="Courier New" w:cstheme="minorBidi"/>
      <w:kern w:val="2"/>
      <w:sz w:val="21"/>
      <w:szCs w:val="24"/>
    </w:rPr>
  </w:style>
  <w:style w:type="character" w:customStyle="1" w:styleId="49">
    <w:name w:val="正文文本缩进 2 字符"/>
    <w:basedOn w:val="22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0">
    <w:name w:val="页脚 字符"/>
    <w:basedOn w:val="22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51">
    <w:name w:val="页眉 字符"/>
    <w:basedOn w:val="22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52">
    <w:name w:val="标题 字符"/>
    <w:basedOn w:val="22"/>
    <w:link w:val="17"/>
    <w:qFormat/>
    <w:uiPriority w:val="0"/>
    <w:rPr>
      <w:rFonts w:ascii="Arial" w:hAnsi="Arial" w:cstheme="minorBidi"/>
      <w:b/>
      <w:bCs/>
      <w:kern w:val="2"/>
      <w:sz w:val="21"/>
      <w:szCs w:val="32"/>
    </w:rPr>
  </w:style>
  <w:style w:type="character" w:customStyle="1" w:styleId="53">
    <w:name w:val="正文文本首行缩进 2 字符"/>
    <w:basedOn w:val="47"/>
    <w:link w:val="19"/>
    <w:qFormat/>
    <w:uiPriority w:val="0"/>
    <w:rPr>
      <w:rFonts w:ascii="Arial" w:hAnsi="Arial" w:eastAsiaTheme="minorEastAsia" w:cstheme="minorBidi"/>
      <w:kern w:val="2"/>
      <w:sz w:val="21"/>
      <w:szCs w:val="24"/>
    </w:rPr>
  </w:style>
  <w:style w:type="paragraph" w:customStyle="1" w:styleId="5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2539</Words>
  <Characters>2709</Characters>
  <Lines>1</Lines>
  <Paragraphs>1</Paragraphs>
  <TotalTime>9</TotalTime>
  <ScaleCrop>false</ScaleCrop>
  <LinksUpToDate>false</LinksUpToDate>
  <CharactersWithSpaces>2746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2022-09-07T02:29:00Z</dcterms:created>
  <dc:creator>尤婉伊</dc:creator>
  <cp:lastModifiedBy>金婷</cp:lastModifiedBy>
  <cp:lastPrinted>2023-03-22T08:02:00Z</cp:lastPrinted>
  <dcterms:modified xsi:type="dcterms:W3CDTF">2023-03-23T15:46:03Z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4F23CE15E87242A989406DAC397B075A</vt:lpwstr>
  </property>
</Properties>
</file>