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16182" w14:textId="77777777" w:rsidR="00217B77" w:rsidRDefault="00000000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</w:t>
      </w:r>
    </w:p>
    <w:p w14:paraId="69D68D1E" w14:textId="77777777" w:rsidR="00217B77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报  价  单</w:t>
      </w:r>
    </w:p>
    <w:tbl>
      <w:tblPr>
        <w:tblW w:w="8571" w:type="dxa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6754"/>
      </w:tblGrid>
      <w:tr w:rsidR="00217B77" w14:paraId="5FD1B08C" w14:textId="77777777">
        <w:trPr>
          <w:trHeight w:val="1563"/>
          <w:jc w:val="center"/>
        </w:trPr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F0B062" w14:textId="77777777" w:rsidR="00217B77" w:rsidRDefault="00000000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AB7C70" w14:textId="77777777" w:rsidR="00217B7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台州市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科创投资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集团及所属企业车辆保险采购项目</w:t>
            </w:r>
          </w:p>
        </w:tc>
      </w:tr>
      <w:tr w:rsidR="00217B77" w14:paraId="1830BA76" w14:textId="77777777" w:rsidTr="006C6BA6">
        <w:trPr>
          <w:trHeight w:val="1068"/>
          <w:jc w:val="center"/>
        </w:trPr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6EDF3A" w14:textId="77777777" w:rsidR="00217B77" w:rsidRDefault="00000000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bookmarkStart w:id="0" w:name="OLE_LINK3"/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自主定价系数</w:t>
            </w:r>
            <w:bookmarkEnd w:id="0"/>
          </w:p>
        </w:tc>
        <w:tc>
          <w:tcPr>
            <w:tcW w:w="6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F091B7" w14:textId="61EF2433" w:rsidR="00217B77" w:rsidRPr="006C6BA6" w:rsidRDefault="00000000" w:rsidP="006C6BA6">
            <w:pPr>
              <w:snapToGrid w:val="0"/>
              <w:spacing w:line="400" w:lineRule="atLeast"/>
              <w:ind w:firstLineChars="700" w:firstLine="1960"/>
              <w:rPr>
                <w:rFonts w:ascii="宋体" w:hAnsi="宋体" w:hint="eastAsia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大写：百分之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2712D2E1" w14:textId="77777777" w:rsidR="00217B77" w:rsidRDefault="00000000">
            <w:pPr>
              <w:widowControl/>
              <w:snapToGrid w:val="0"/>
              <w:spacing w:line="360" w:lineRule="auto"/>
              <w:ind w:firstLineChars="700" w:firstLine="1960"/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小写：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206E079A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▲商业险保费计算方法=基准保费×无赔款优待系数×自主定价系数；基准保费、无赔款优待系数按国家要求据实执行。</w:t>
      </w:r>
    </w:p>
    <w:p w14:paraId="38266468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▲交通事故责任强制险在符合政策规定情况下按照最优惠的折扣执行。车船税按国家要求据实执行。</w:t>
      </w:r>
    </w:p>
    <w:p w14:paraId="33E6ABDE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▲报价单中费率折扣系数为保险公司对采购单位车辆商业</w:t>
      </w:r>
      <w:proofErr w:type="gramStart"/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险部分</w:t>
      </w:r>
      <w:proofErr w:type="gramEnd"/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所给与的最低折扣系数。</w:t>
      </w:r>
    </w:p>
    <w:p w14:paraId="335C456E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▲不提供此表格的将视为没有实质性相应报价文件。</w:t>
      </w:r>
    </w:p>
    <w:p w14:paraId="75E0685F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▲报价必须按照文件注明的进行报价，否则视为无效。</w:t>
      </w:r>
    </w:p>
    <w:p w14:paraId="3D10F56E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▲保险公司商业险费率折扣系数须符合保监会最新规定。</w:t>
      </w:r>
    </w:p>
    <w:p w14:paraId="4EA44C9C" w14:textId="77777777" w:rsidR="00217B77" w:rsidRDefault="00000000" w:rsidP="006C6BA6">
      <w:pPr>
        <w:pStyle w:val="aa"/>
        <w:adjustRightInd w:val="0"/>
        <w:snapToGrid w:val="0"/>
        <w:spacing w:after="0" w:line="600" w:lineRule="exact"/>
        <w:ind w:firstLine="420"/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</w:pPr>
      <w:r>
        <w:rPr>
          <w:rFonts w:ascii="仿宋_GB2312" w:hAnsi="仿宋_GB2312" w:cs="仿宋_GB2312" w:hint="eastAsia"/>
          <w:b w:val="0"/>
          <w:bCs/>
          <w:color w:val="000000" w:themeColor="text1"/>
          <w:sz w:val="30"/>
          <w:szCs w:val="30"/>
        </w:rPr>
        <w:t>▲合作期为3年，即从2024年11月至 2027年10月。</w:t>
      </w:r>
    </w:p>
    <w:p w14:paraId="101BD9BC" w14:textId="77777777" w:rsidR="00217B77" w:rsidRDefault="00217B77" w:rsidP="006C6BA6">
      <w:pPr>
        <w:pStyle w:val="TOC2"/>
        <w:spacing w:after="0" w:line="600" w:lineRule="exact"/>
      </w:pPr>
    </w:p>
    <w:p w14:paraId="177CCBB4" w14:textId="77777777" w:rsidR="00217B77" w:rsidRDefault="00000000" w:rsidP="006C6BA6">
      <w:pPr>
        <w:pStyle w:val="a4"/>
        <w:overflowPunct w:val="0"/>
        <w:spacing w:after="0" w:line="600" w:lineRule="exact"/>
        <w:ind w:right="420" w:firstLineChars="1606" w:firstLine="4818"/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保险公司（单位盖章）：</w:t>
      </w:r>
    </w:p>
    <w:p w14:paraId="66193CE0" w14:textId="3B87D674" w:rsidR="00217B77" w:rsidRPr="006C6BA6" w:rsidRDefault="00000000" w:rsidP="006C6BA6">
      <w:pPr>
        <w:pStyle w:val="a4"/>
        <w:overflowPunct w:val="0"/>
        <w:spacing w:after="0" w:line="600" w:lineRule="exact"/>
        <w:ind w:firstLineChars="1698" w:firstLine="5094"/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年   月   日</w:t>
      </w:r>
    </w:p>
    <w:sectPr w:rsidR="00217B77" w:rsidRPr="006C6BA6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BC68B" w14:textId="77777777" w:rsidR="00B61B2C" w:rsidRDefault="00B61B2C">
      <w:pPr>
        <w:spacing w:after="0" w:line="240" w:lineRule="auto"/>
      </w:pPr>
      <w:r>
        <w:separator/>
      </w:r>
    </w:p>
  </w:endnote>
  <w:endnote w:type="continuationSeparator" w:id="0">
    <w:p w14:paraId="1D4E77D9" w14:textId="77777777" w:rsidR="00B61B2C" w:rsidRDefault="00B6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仿宋" w:eastAsia="仿宋" w:hAnsi="仿宋"/>
      </w:rPr>
      <w:id w:val="11091765"/>
    </w:sdtPr>
    <w:sdtContent>
      <w:p w14:paraId="6A4EB6E9" w14:textId="77777777" w:rsidR="00217B77" w:rsidRDefault="00000000">
        <w:pPr>
          <w:pStyle w:val="ad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-</w:t>
        </w:r>
        <w:r>
          <w:rPr>
            <w:rFonts w:ascii="仿宋" w:eastAsia="仿宋" w:hAnsi="仿宋"/>
            <w:sz w:val="28"/>
            <w:szCs w:val="28"/>
          </w:rPr>
          <w:t xml:space="preserve"> 2 -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14:paraId="68CBEF85" w14:textId="77777777" w:rsidR="00217B77" w:rsidRDefault="00217B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D2447" w14:textId="77777777" w:rsidR="00B61B2C" w:rsidRDefault="00B61B2C">
      <w:pPr>
        <w:spacing w:after="0" w:line="240" w:lineRule="auto"/>
      </w:pPr>
      <w:r>
        <w:separator/>
      </w:r>
    </w:p>
  </w:footnote>
  <w:footnote w:type="continuationSeparator" w:id="0">
    <w:p w14:paraId="1BFFC25E" w14:textId="77777777" w:rsidR="00B61B2C" w:rsidRDefault="00B6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6F6914"/>
    <w:multiLevelType w:val="singleLevel"/>
    <w:tmpl w:val="AD6F69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8012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005B"/>
    <w:rsid w:val="00042A3A"/>
    <w:rsid w:val="000520D9"/>
    <w:rsid w:val="00056C8F"/>
    <w:rsid w:val="00064319"/>
    <w:rsid w:val="00087C3A"/>
    <w:rsid w:val="000B617C"/>
    <w:rsid w:val="000C62E5"/>
    <w:rsid w:val="000C6D1C"/>
    <w:rsid w:val="000E17DC"/>
    <w:rsid w:val="001040A1"/>
    <w:rsid w:val="00137731"/>
    <w:rsid w:val="00156C9F"/>
    <w:rsid w:val="001704F2"/>
    <w:rsid w:val="00171FF2"/>
    <w:rsid w:val="00172A27"/>
    <w:rsid w:val="00177D48"/>
    <w:rsid w:val="00183BFD"/>
    <w:rsid w:val="00186D47"/>
    <w:rsid w:val="00195954"/>
    <w:rsid w:val="001E15EC"/>
    <w:rsid w:val="001F3FFD"/>
    <w:rsid w:val="00210AF3"/>
    <w:rsid w:val="00217B77"/>
    <w:rsid w:val="00235917"/>
    <w:rsid w:val="002642EE"/>
    <w:rsid w:val="00281E86"/>
    <w:rsid w:val="002822F5"/>
    <w:rsid w:val="00282FD8"/>
    <w:rsid w:val="002907F6"/>
    <w:rsid w:val="0029600E"/>
    <w:rsid w:val="002A0429"/>
    <w:rsid w:val="002A7B5D"/>
    <w:rsid w:val="002D5891"/>
    <w:rsid w:val="002D5FA6"/>
    <w:rsid w:val="002E2620"/>
    <w:rsid w:val="002E66C0"/>
    <w:rsid w:val="002F14EE"/>
    <w:rsid w:val="0030452A"/>
    <w:rsid w:val="003049BB"/>
    <w:rsid w:val="00314C31"/>
    <w:rsid w:val="0032546B"/>
    <w:rsid w:val="00331298"/>
    <w:rsid w:val="00332204"/>
    <w:rsid w:val="0033309A"/>
    <w:rsid w:val="00333E9A"/>
    <w:rsid w:val="00343F85"/>
    <w:rsid w:val="00367556"/>
    <w:rsid w:val="00382C92"/>
    <w:rsid w:val="00387FD2"/>
    <w:rsid w:val="003B188B"/>
    <w:rsid w:val="003E4E7B"/>
    <w:rsid w:val="00402AB1"/>
    <w:rsid w:val="00402F71"/>
    <w:rsid w:val="00421FE9"/>
    <w:rsid w:val="00422D70"/>
    <w:rsid w:val="00431AB0"/>
    <w:rsid w:val="004320EC"/>
    <w:rsid w:val="00443D3E"/>
    <w:rsid w:val="0044666D"/>
    <w:rsid w:val="00455CCA"/>
    <w:rsid w:val="00462068"/>
    <w:rsid w:val="0048754B"/>
    <w:rsid w:val="00487951"/>
    <w:rsid w:val="00497C0D"/>
    <w:rsid w:val="004A2FE4"/>
    <w:rsid w:val="004B5914"/>
    <w:rsid w:val="004B5DFB"/>
    <w:rsid w:val="004B6500"/>
    <w:rsid w:val="004B7C63"/>
    <w:rsid w:val="004C017E"/>
    <w:rsid w:val="004C38EA"/>
    <w:rsid w:val="004C73C4"/>
    <w:rsid w:val="004C7F2D"/>
    <w:rsid w:val="004E752D"/>
    <w:rsid w:val="0050701E"/>
    <w:rsid w:val="00511D69"/>
    <w:rsid w:val="00512471"/>
    <w:rsid w:val="005127B3"/>
    <w:rsid w:val="00542A44"/>
    <w:rsid w:val="00544D8F"/>
    <w:rsid w:val="00562E06"/>
    <w:rsid w:val="005A0220"/>
    <w:rsid w:val="005A3F84"/>
    <w:rsid w:val="005A6DDE"/>
    <w:rsid w:val="005B5614"/>
    <w:rsid w:val="005C22C0"/>
    <w:rsid w:val="005C2970"/>
    <w:rsid w:val="005C5DFB"/>
    <w:rsid w:val="005D1751"/>
    <w:rsid w:val="005E5E5D"/>
    <w:rsid w:val="005F4B50"/>
    <w:rsid w:val="0060696B"/>
    <w:rsid w:val="00613FBC"/>
    <w:rsid w:val="00615190"/>
    <w:rsid w:val="0062622A"/>
    <w:rsid w:val="00635CBE"/>
    <w:rsid w:val="006426BE"/>
    <w:rsid w:val="00656D86"/>
    <w:rsid w:val="006609DF"/>
    <w:rsid w:val="006625A8"/>
    <w:rsid w:val="0066264F"/>
    <w:rsid w:val="00665BB2"/>
    <w:rsid w:val="006819FA"/>
    <w:rsid w:val="006902F0"/>
    <w:rsid w:val="00692901"/>
    <w:rsid w:val="006B657E"/>
    <w:rsid w:val="006C1D47"/>
    <w:rsid w:val="006C2BBD"/>
    <w:rsid w:val="006C68C8"/>
    <w:rsid w:val="006C6BA6"/>
    <w:rsid w:val="006D0947"/>
    <w:rsid w:val="006D5F7A"/>
    <w:rsid w:val="006F31FF"/>
    <w:rsid w:val="006F469D"/>
    <w:rsid w:val="00701190"/>
    <w:rsid w:val="0070152C"/>
    <w:rsid w:val="007023BB"/>
    <w:rsid w:val="00705F13"/>
    <w:rsid w:val="0070675E"/>
    <w:rsid w:val="00711E7D"/>
    <w:rsid w:val="007167D8"/>
    <w:rsid w:val="00730F1B"/>
    <w:rsid w:val="0075343D"/>
    <w:rsid w:val="007629D4"/>
    <w:rsid w:val="0077016C"/>
    <w:rsid w:val="007737D4"/>
    <w:rsid w:val="007945BC"/>
    <w:rsid w:val="007B1894"/>
    <w:rsid w:val="007B639B"/>
    <w:rsid w:val="007C3AD0"/>
    <w:rsid w:val="007E1E64"/>
    <w:rsid w:val="007E593B"/>
    <w:rsid w:val="00805292"/>
    <w:rsid w:val="00810CDF"/>
    <w:rsid w:val="008144D0"/>
    <w:rsid w:val="00821784"/>
    <w:rsid w:val="00846397"/>
    <w:rsid w:val="00867E84"/>
    <w:rsid w:val="00877029"/>
    <w:rsid w:val="008A0EAF"/>
    <w:rsid w:val="008A3544"/>
    <w:rsid w:val="00901FA1"/>
    <w:rsid w:val="00917DA0"/>
    <w:rsid w:val="00921840"/>
    <w:rsid w:val="0092593D"/>
    <w:rsid w:val="00933C4D"/>
    <w:rsid w:val="00934881"/>
    <w:rsid w:val="00936182"/>
    <w:rsid w:val="00940CF2"/>
    <w:rsid w:val="009418EC"/>
    <w:rsid w:val="009A042B"/>
    <w:rsid w:val="009A462B"/>
    <w:rsid w:val="009A7F90"/>
    <w:rsid w:val="009B4D6F"/>
    <w:rsid w:val="009B7B0F"/>
    <w:rsid w:val="009C6789"/>
    <w:rsid w:val="009D1626"/>
    <w:rsid w:val="009D38F3"/>
    <w:rsid w:val="009F1BC7"/>
    <w:rsid w:val="009F1E68"/>
    <w:rsid w:val="009F3054"/>
    <w:rsid w:val="00A13910"/>
    <w:rsid w:val="00A26E0C"/>
    <w:rsid w:val="00A3143E"/>
    <w:rsid w:val="00A44A67"/>
    <w:rsid w:val="00A65DAB"/>
    <w:rsid w:val="00A7059F"/>
    <w:rsid w:val="00A805E9"/>
    <w:rsid w:val="00A806A6"/>
    <w:rsid w:val="00A839D5"/>
    <w:rsid w:val="00A8719F"/>
    <w:rsid w:val="00A91E48"/>
    <w:rsid w:val="00AA3F3F"/>
    <w:rsid w:val="00AA4441"/>
    <w:rsid w:val="00AC0B13"/>
    <w:rsid w:val="00AD14B3"/>
    <w:rsid w:val="00AE309F"/>
    <w:rsid w:val="00AE5AEF"/>
    <w:rsid w:val="00B00B5D"/>
    <w:rsid w:val="00B16217"/>
    <w:rsid w:val="00B176F3"/>
    <w:rsid w:val="00B272B0"/>
    <w:rsid w:val="00B47BB5"/>
    <w:rsid w:val="00B50CA2"/>
    <w:rsid w:val="00B55ABF"/>
    <w:rsid w:val="00B61B2C"/>
    <w:rsid w:val="00B71C9F"/>
    <w:rsid w:val="00B924C4"/>
    <w:rsid w:val="00BA7324"/>
    <w:rsid w:val="00BB3E56"/>
    <w:rsid w:val="00BC615B"/>
    <w:rsid w:val="00BD30A5"/>
    <w:rsid w:val="00BF04E5"/>
    <w:rsid w:val="00BF082A"/>
    <w:rsid w:val="00BF29FE"/>
    <w:rsid w:val="00BF2ABF"/>
    <w:rsid w:val="00BF68FF"/>
    <w:rsid w:val="00C00E9E"/>
    <w:rsid w:val="00C02126"/>
    <w:rsid w:val="00C028BE"/>
    <w:rsid w:val="00C10516"/>
    <w:rsid w:val="00C35741"/>
    <w:rsid w:val="00C42146"/>
    <w:rsid w:val="00C42B87"/>
    <w:rsid w:val="00C449B0"/>
    <w:rsid w:val="00C85C97"/>
    <w:rsid w:val="00CA74B3"/>
    <w:rsid w:val="00CB6DDA"/>
    <w:rsid w:val="00CC6F65"/>
    <w:rsid w:val="00CD0F17"/>
    <w:rsid w:val="00CE4670"/>
    <w:rsid w:val="00D21C3C"/>
    <w:rsid w:val="00D22FCB"/>
    <w:rsid w:val="00D6253D"/>
    <w:rsid w:val="00D76167"/>
    <w:rsid w:val="00D935F3"/>
    <w:rsid w:val="00DA44A8"/>
    <w:rsid w:val="00DB62FE"/>
    <w:rsid w:val="00DE3DAB"/>
    <w:rsid w:val="00DF330E"/>
    <w:rsid w:val="00E00E0D"/>
    <w:rsid w:val="00E31F6F"/>
    <w:rsid w:val="00E41530"/>
    <w:rsid w:val="00E44944"/>
    <w:rsid w:val="00E54061"/>
    <w:rsid w:val="00E63A36"/>
    <w:rsid w:val="00E735C2"/>
    <w:rsid w:val="00E76BD1"/>
    <w:rsid w:val="00E80A5C"/>
    <w:rsid w:val="00E83909"/>
    <w:rsid w:val="00E9348B"/>
    <w:rsid w:val="00E94A22"/>
    <w:rsid w:val="00E97811"/>
    <w:rsid w:val="00EA5040"/>
    <w:rsid w:val="00F03F61"/>
    <w:rsid w:val="00F101EB"/>
    <w:rsid w:val="00F218E5"/>
    <w:rsid w:val="00F34253"/>
    <w:rsid w:val="00F40C85"/>
    <w:rsid w:val="00F60758"/>
    <w:rsid w:val="00F64862"/>
    <w:rsid w:val="00F77BBF"/>
    <w:rsid w:val="00F94627"/>
    <w:rsid w:val="00F957FE"/>
    <w:rsid w:val="00FA2193"/>
    <w:rsid w:val="00FC1139"/>
    <w:rsid w:val="00FC7AE5"/>
    <w:rsid w:val="00FF14BE"/>
    <w:rsid w:val="00FF5A0A"/>
    <w:rsid w:val="02B3216F"/>
    <w:rsid w:val="03160223"/>
    <w:rsid w:val="079A3333"/>
    <w:rsid w:val="09576BBE"/>
    <w:rsid w:val="0A4F55E6"/>
    <w:rsid w:val="0AC856E5"/>
    <w:rsid w:val="0C1F65BE"/>
    <w:rsid w:val="0C25582F"/>
    <w:rsid w:val="0C7508DB"/>
    <w:rsid w:val="0C7C257E"/>
    <w:rsid w:val="0F726B68"/>
    <w:rsid w:val="1102454A"/>
    <w:rsid w:val="112C1A95"/>
    <w:rsid w:val="124D6846"/>
    <w:rsid w:val="12940AF5"/>
    <w:rsid w:val="13C45514"/>
    <w:rsid w:val="148B3F55"/>
    <w:rsid w:val="14FF538C"/>
    <w:rsid w:val="179D47CF"/>
    <w:rsid w:val="17C71DCB"/>
    <w:rsid w:val="18492247"/>
    <w:rsid w:val="18763548"/>
    <w:rsid w:val="19AD13D4"/>
    <w:rsid w:val="1B622F1D"/>
    <w:rsid w:val="1BC01018"/>
    <w:rsid w:val="1CCF7350"/>
    <w:rsid w:val="1FA61308"/>
    <w:rsid w:val="20A500CD"/>
    <w:rsid w:val="20B66797"/>
    <w:rsid w:val="21AA1B24"/>
    <w:rsid w:val="21AD66B9"/>
    <w:rsid w:val="23DD1347"/>
    <w:rsid w:val="254D0C08"/>
    <w:rsid w:val="256B275E"/>
    <w:rsid w:val="25EA2058"/>
    <w:rsid w:val="260E4EC2"/>
    <w:rsid w:val="27FC1271"/>
    <w:rsid w:val="2A563B34"/>
    <w:rsid w:val="2AA23D5E"/>
    <w:rsid w:val="2ABF5C48"/>
    <w:rsid w:val="2AFC4CF2"/>
    <w:rsid w:val="2D1F6BCD"/>
    <w:rsid w:val="2DBB4495"/>
    <w:rsid w:val="2DEC2F79"/>
    <w:rsid w:val="2EE86355"/>
    <w:rsid w:val="31407A4E"/>
    <w:rsid w:val="336F59D3"/>
    <w:rsid w:val="34B10988"/>
    <w:rsid w:val="36F53D3E"/>
    <w:rsid w:val="37D51135"/>
    <w:rsid w:val="386D6D33"/>
    <w:rsid w:val="38876A95"/>
    <w:rsid w:val="38CA4082"/>
    <w:rsid w:val="38FC3BB0"/>
    <w:rsid w:val="3CF34723"/>
    <w:rsid w:val="3E0709DF"/>
    <w:rsid w:val="3E84196D"/>
    <w:rsid w:val="3F6B7543"/>
    <w:rsid w:val="442A211F"/>
    <w:rsid w:val="46CB25CD"/>
    <w:rsid w:val="46CE618C"/>
    <w:rsid w:val="4747644C"/>
    <w:rsid w:val="47B26643"/>
    <w:rsid w:val="47D31BF4"/>
    <w:rsid w:val="48ED34BE"/>
    <w:rsid w:val="49F975C1"/>
    <w:rsid w:val="4A247A25"/>
    <w:rsid w:val="4A866C60"/>
    <w:rsid w:val="4B16288C"/>
    <w:rsid w:val="4CD80B8F"/>
    <w:rsid w:val="50621C82"/>
    <w:rsid w:val="51AF231D"/>
    <w:rsid w:val="52B01737"/>
    <w:rsid w:val="5456160A"/>
    <w:rsid w:val="547960F3"/>
    <w:rsid w:val="54A767BC"/>
    <w:rsid w:val="55A916A5"/>
    <w:rsid w:val="5A7B7DE4"/>
    <w:rsid w:val="5AC57265"/>
    <w:rsid w:val="5C974400"/>
    <w:rsid w:val="5EAB0D9A"/>
    <w:rsid w:val="5EFE38D4"/>
    <w:rsid w:val="626168A4"/>
    <w:rsid w:val="64BB4ED4"/>
    <w:rsid w:val="6655688C"/>
    <w:rsid w:val="67562DFB"/>
    <w:rsid w:val="67783CAD"/>
    <w:rsid w:val="681A040E"/>
    <w:rsid w:val="68344FC5"/>
    <w:rsid w:val="684C1443"/>
    <w:rsid w:val="6BAA1AFA"/>
    <w:rsid w:val="6CEC70C0"/>
    <w:rsid w:val="6DF2242C"/>
    <w:rsid w:val="6F160404"/>
    <w:rsid w:val="70721008"/>
    <w:rsid w:val="709B3469"/>
    <w:rsid w:val="71CE77D8"/>
    <w:rsid w:val="72B45F70"/>
    <w:rsid w:val="768B4B32"/>
    <w:rsid w:val="77264AAA"/>
    <w:rsid w:val="7E692A89"/>
    <w:rsid w:val="7FB14949"/>
    <w:rsid w:val="7FB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5C15"/>
  <w15:docId w15:val="{27C898E4-74DF-4D72-9C17-7831BD36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paragraph" w:styleId="a4">
    <w:name w:val="Normal Indent"/>
    <w:basedOn w:val="a"/>
    <w:next w:val="TOC2"/>
    <w:qFormat/>
    <w:pPr>
      <w:ind w:firstLineChars="200" w:firstLine="420"/>
    </w:pPr>
  </w:style>
  <w:style w:type="paragraph" w:styleId="TOC2">
    <w:name w:val="toc 2"/>
    <w:basedOn w:val="a"/>
    <w:next w:val="a"/>
    <w:uiPriority w:val="99"/>
    <w:unhideWhenUsed/>
    <w:qFormat/>
    <w:pPr>
      <w:ind w:leftChars="200" w:left="420"/>
    </w:p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</w:style>
  <w:style w:type="paragraph" w:styleId="a9">
    <w:name w:val="Body Text Indent"/>
    <w:basedOn w:val="a"/>
    <w:next w:val="a4"/>
    <w:uiPriority w:val="99"/>
    <w:qFormat/>
    <w:pPr>
      <w:spacing w:afterLines="25" w:line="300" w:lineRule="auto"/>
      <w:ind w:firstLineChars="200" w:firstLine="420"/>
    </w:pPr>
    <w:rPr>
      <w:sz w:val="24"/>
    </w:rPr>
  </w:style>
  <w:style w:type="paragraph" w:styleId="aa">
    <w:name w:val="Plain Text"/>
    <w:basedOn w:val="a"/>
    <w:next w:val="TOC2"/>
    <w:unhideWhenUsed/>
    <w:qFormat/>
    <w:rPr>
      <w:rFonts w:ascii="宋体" w:eastAsia="仿宋_GB2312" w:hAnsi="Courier New"/>
      <w:b/>
      <w:color w:val="000000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2">
    <w:name w:val="annotation subject"/>
    <w:basedOn w:val="a7"/>
    <w:next w:val="a7"/>
    <w:link w:val="af3"/>
    <w:uiPriority w:val="99"/>
    <w:semiHidden/>
    <w:unhideWhenUsed/>
    <w:qFormat/>
    <w:rPr>
      <w:b/>
      <w:bCs/>
    </w:rPr>
  </w:style>
  <w:style w:type="paragraph" w:styleId="2">
    <w:name w:val="Body Text First Indent 2"/>
    <w:basedOn w:val="a9"/>
    <w:qFormat/>
    <w:pPr>
      <w:spacing w:afterLines="0" w:line="240" w:lineRule="auto"/>
      <w:ind w:leftChars="200" w:left="420"/>
    </w:pPr>
    <w:rPr>
      <w:rFonts w:ascii="Arial" w:hAnsi="Arial"/>
      <w:sz w:val="21"/>
    </w:rPr>
  </w:style>
  <w:style w:type="table" w:styleId="af4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4">
    <w:name w:val="4、正文"/>
    <w:basedOn w:val="a"/>
    <w:qFormat/>
    <w:pPr>
      <w:ind w:firstLineChars="200" w:firstLine="200"/>
    </w:pPr>
    <w:rPr>
      <w:rFonts w:ascii="宋体"/>
      <w:sz w:val="24"/>
      <w:szCs w:val="28"/>
    </w:rPr>
  </w:style>
  <w:style w:type="character" w:customStyle="1" w:styleId="af0">
    <w:name w:val="页眉 字符"/>
    <w:basedOn w:val="a1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文字 字符"/>
    <w:basedOn w:val="a1"/>
    <w:link w:val="a7"/>
    <w:uiPriority w:val="99"/>
    <w:semiHidden/>
    <w:qFormat/>
  </w:style>
  <w:style w:type="character" w:customStyle="1" w:styleId="af3">
    <w:name w:val="批注主题 字符"/>
    <w:basedOn w:val="a8"/>
    <w:link w:val="af2"/>
    <w:uiPriority w:val="99"/>
    <w:semiHidden/>
    <w:qFormat/>
    <w:rPr>
      <w:b/>
      <w:bCs/>
    </w:rPr>
  </w:style>
  <w:style w:type="character" w:customStyle="1" w:styleId="ac">
    <w:name w:val="批注框文本 字符"/>
    <w:basedOn w:val="a1"/>
    <w:link w:val="ab"/>
    <w:uiPriority w:val="99"/>
    <w:semiHidden/>
    <w:qFormat/>
    <w:rPr>
      <w:sz w:val="18"/>
      <w:szCs w:val="18"/>
    </w:rPr>
  </w:style>
  <w:style w:type="paragraph" w:styleId="af7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8">
    <w:name w:val="模板普通正文"/>
    <w:basedOn w:val="a9"/>
    <w:qFormat/>
    <w:pPr>
      <w:spacing w:beforeLines="50" w:after="10"/>
      <w:ind w:firstLineChars="175" w:firstLine="490"/>
    </w:pPr>
  </w:style>
  <w:style w:type="paragraph" w:customStyle="1" w:styleId="10">
    <w:name w:val="正文文本首行缩进1"/>
    <w:basedOn w:val="a0"/>
    <w:qFormat/>
    <w:pPr>
      <w:ind w:firstLineChars="100" w:firstLine="420"/>
    </w:pPr>
    <w:rPr>
      <w:szCs w:val="21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金婷</dc:creator>
  <cp:lastModifiedBy>ZHU Haizhou</cp:lastModifiedBy>
  <cp:revision>2</cp:revision>
  <cp:lastPrinted>2024-09-30T00:31:00Z</cp:lastPrinted>
  <dcterms:created xsi:type="dcterms:W3CDTF">2024-10-01T08:57:00Z</dcterms:created>
  <dcterms:modified xsi:type="dcterms:W3CDTF">2024-10-01T08:57:00Z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6D1F697A607E4C119C53A09585E96033</vt:lpwstr>
  </property>
</Properties>
</file>