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OLE_LINK2"/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4" w:name="_GoBack"/>
      <w:bookmarkEnd w:id="4"/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afterLine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采购清单</w:t>
      </w:r>
    </w:p>
    <w:tbl>
      <w:tblPr>
        <w:tblStyle w:val="13"/>
        <w:tblW w:w="1290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295"/>
        <w:gridCol w:w="7305"/>
        <w:gridCol w:w="762"/>
        <w:gridCol w:w="810"/>
        <w:gridCol w:w="20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主要技术参数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推荐品牌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一、机房改造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模块化一体机柜（三联柜）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3连柜（1动力柜+2 IT柜），带1台风冷型机架式≥8KW变频制冷模块，含动环监控系统，可用空间≥100U。标准配置≥7寸嵌入式触摸屏。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1、柜体：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单机柜尺寸600*1280*2000mm；冷热通道全密闭，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前门采用5+6A+5中空玻璃金属镶边，后门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封闭式钢板门；前后门采用四周双层结构，并配置旋转式4位机械密码锁；（提供相关材料证明）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内置感应智能灯光系统：平时灯光系统关闭，感应人员呈现蓝色氛围灯，柜体内前后顶部设有220V LED照明灯，与柜体一体式融合设计；隐藏内嵌式安装工艺，设有智能传感装置，可实现开门灯亮，关门灯灭，前后独立控制；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2、智能配电模块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：机架式设计；为 IT 设备提供两路完全独立的电源，一路UPS不间断电源，一路市电；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市电输入：63A/3P，配置智能电量仪，C级防雷保护；1路UPS输入开关 63A/1P；1路UPS输出开关63A/1P；1路手动维修旁路开关63A/2P；2路空调控制开关32A/1P；10路PDU控制开关16A/1P(市电、UPS各5路)；含柜体照明、应急风扇UPS配电；安装高度：≤7U。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3、风冷机架式空调：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≥8KW风冷型绿色变频机架式空调，空调独立室外机；提供中国强制性产品认证的CCC认证及CQC节能认证；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采用R410A环保制冷剂，标配电加热与排水泵；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采用直流变频压缩机、电子膨胀阀，无级调速EC风机；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全年能效比≥5.1，要求能效指标达到1级，并提供具有CMA和CNAS标识的第三方检验报告。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4、智能管理模块：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集成7寸嵌入式触摸屏和监控主机，实现柜内环境、基础设施设备本地化管理、手机APP（Android和IOS）、短信和Email 报警功能，支持远程集中管理，监控数据可断点续传；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环软件远程接入：单个节点机房接入统一监控，告警短信通知（最多绑定3个联系人，不限短信条数）；大数据分析预测性维护提醒、预警优化建议；专业工程师远程技术支持（故障排查指导、技术问题指导）；项目交付后，提供7*24小时远程（通过专网形式，数据通信与互联网隔离）运维支持服务；支持微信小程序或公众号自行查看机房实时状态信息；定期提供单个节点机房的运行维护总结报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系统软件应符合GB/T2500.51-2016要求中在不低于10条环境关键信息报警信息准确率≥99.9%，并提供第三方测评报告；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产品安全性需满足GB/T 20984-2007信息安全风险评估规范，并提供第三方测试报告。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5、其他：每个IT柜含≥1个16口PDU、1个导轨、1个层板、1个理线架、20块盲板；机柜柜顶配置强电和弱电桥架各1套。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6、整机及配件静电放电抗扰度均达到测试等级B级以上，需要提供具有CMA和CNAS标识的第三方检测检验报告。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7、整体电源使用效率（EEUE/PUE值）要求达到≤1.2，需要提供第三方检测检验报告。</w:t>
            </w:r>
          </w:p>
          <w:p>
            <w:pPr>
              <w:pStyle w:val="2"/>
              <w:rPr>
                <w:rFonts w:hint="default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8、原厂质保三年，需提供相关证明。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德塔森特/博科维/施耐德或相当于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9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2、新增UPS不间断电源系统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UPS不间断电源主机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10KVA机架式UPS主机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输入特性：采用三电平技术；电压范围(Vac) :138~485（线电压）；频率范围（Hz） :40~70；输入功率因数 :满载&gt;0.99；输入电流谐波 :≤3% ；   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输出特性：额定电压(Vac) :380/400/415(线电压）；输出功率因数 :0.9（在0~40℃可达1.0） ；稳压精度 : &lt;1%；输出频率（Hz） :50/60±0.1 ；波形失真度（THDv） :线性满载≤1%；非线性满载≤4%；切换时间（ms） :0 ；   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过载能力 : 115％以下：长时间运行；115％~130％：10min；130％~155％：1min；＞155%：200ms ；   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整机效率 : 高达96% ；  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保护功能 : 双键组合开关机保护；具备输出过载、短路；电池欠压、过压；充电过温、短路；交流输入电压、频率、相序异常；UPS过温、风机故障等等 ；   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工作温度（℃） :-5~40 。  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德塔森特/博科维/施耐德或相当于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阀控式铅酸蓄电池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1、标称电压：12V，额定容量：150Ah（20HR 1.75V/C 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须符合中华人民共和国信息产业部YD/T799-2010《通信用阀控式密封铅酸蓄电池》标准；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结构要求：正负极端子有明显标志，便于链接；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气密性：能承受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50KPa正压或负压而不破裂、不开胶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变形；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防爆性能：充电过程中，遇到明火，内部不引爆，不引燃；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封口剂性能：环境温度在-30℃~+65℃之间，封口剂无裂纹与溢流现象；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容量保存率：完全充电的蓄电池，在25±2°的环境中，静置28天后，其容量保持率应在97%以上（12V）；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密封反应效率：96.5%以上；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电池间连接电压降≤5mV；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蓄电池安全阀有自动开启和关闭功能，开阀压10--35kPa，闭阀压3--30kPa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11、原厂质保三年，需提供相关证明。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德塔森特/博科维/施耐德或相当于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电池箱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16节150AH电池箱；包含电池间连接线10平方及直流空开63A/2P，含架并机线及连接到UPS的10平方电缆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UPS输入电缆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UPS不间断电源主机输入总电缆，0ZR-YJV 4*16+1*6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空调辅材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包含1套7.5kW机架式变频空调铜管、保温管、包扎带、电缆敷设等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9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3、机房配套设施升级改造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机柜底座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5#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方钢定制根据机柜的具体尺寸定制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电池箱底座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5#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方钢定制根据机柜的具体尺寸定制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硫酸钙活动地板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规格；600*600*32mm ，型号；HDW，面层；HPL，耐磨性能；≥3000转，基材；选用高强度硫酸钙基材，底部；镀锌钢板，四周；黑色导静电胶条，支架；挂式支架、管式支架，载重力20KN以上（上托厚度3mm、下托厚度3mm、管壁厚度1.2mm、衡梁厚度1mm），防火等级；A级不燃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集成实施服务</w:t>
            </w:r>
          </w:p>
        </w:tc>
        <w:tc>
          <w:tcPr>
            <w:tcW w:w="7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原分机房网络设备迁移至数据机房，完成强电、弱电等线缆敷设，设备上架调试等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default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以上参数均为实质性条款，必须提供原厂质保函及第三方检查报告，不满足其投标将作为无效投标处理。</w:t>
      </w:r>
    </w:p>
    <w:p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7" w:charSpace="0"/>
        </w:sectPr>
      </w:pPr>
    </w:p>
    <w:p>
      <w:pPr>
        <w:pageBreakBefore w:val="0"/>
        <w:kinsoku/>
        <w:overflowPunct/>
        <w:bidi w:val="0"/>
        <w:spacing w:line="6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报名所需资料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一、响应人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720" w:firstLine="0" w:firstLineChars="0"/>
        <w:textAlignment w:val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shd w:val="clear" w:color="auto" w:fill="FFFFFF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法定代表人（或单位负责人）身份证明</w:t>
      </w:r>
    </w:p>
    <w:p>
      <w:pPr>
        <w:pStyle w:val="7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职务：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名称）的法定代表人（或单位负责人）。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特此证明。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26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附：法定代表人（或单位负责人）身份证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扫描件（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需同时提供正面及背面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3751" w:firstLineChars="1563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（盖章）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ind w:firstLine="4560" w:firstLineChars="1900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5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snapToGrid w:val="0"/>
        <w:spacing w:line="5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附：法定代表人身份证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扫描件（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需同时提供正面及背面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ageBreakBefore w:val="0"/>
        <w:widowControl w:val="0"/>
        <w:kinsoku/>
        <w:overflowPunct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124460</wp:posOffset>
                </wp:positionV>
                <wp:extent cx="3240405" cy="1895475"/>
                <wp:effectExtent l="4445" t="4445" r="12700" b="5080"/>
                <wp:wrapNone/>
                <wp:docPr id="13" name="流程图: 可选过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法定代表人身份证背面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1.65pt;margin-top:9.8pt;height:149.25pt;width:255.15pt;z-index:251662336;mso-width-relative:page;mso-height-relative:page;" fillcolor="#FFFFFF" filled="t" stroked="t" coordsize="21600,21600" o:gfxdata="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3+Ci1tcAAAAKAQAADwAAAAAAAAAB&#10;ACAAAAAiAAAAZHJzL2Rvd25yZXYueG1sUEsBAhQAFAAAAAgAh07iQKBSXMZKAgAAYwQAAA4AAAAA&#10;AAAAAQAgAAAAJg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法定代表人身份证背面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-424180</wp:posOffset>
                </wp:positionH>
                <wp:positionV relativeFrom="paragraph">
                  <wp:posOffset>118110</wp:posOffset>
                </wp:positionV>
                <wp:extent cx="3193415" cy="1905000"/>
                <wp:effectExtent l="4445" t="4445" r="21590" b="14605"/>
                <wp:wrapNone/>
                <wp:docPr id="9" name="流程图: 可选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法定代表人身份证正面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33.4pt;margin-top:9.3pt;height:150pt;width:251.45pt;z-index:251661312;mso-width-relative:page;mso-height-relative:page;" fillcolor="#FFFFFF" filled="t" stroked="t" coordsize="21600,21600" o:gfxdata="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B6DJtcAAAAKAQAADwAAAAAAAAAB&#10;ACAAAAAiAAAAZHJzL2Rvd25yZXYueG1sUEsBAhQAFAAAAAgAh07iQN6K581KAgAAYQQAAA4AAAAA&#10;AAAAAQAgAAAAJg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法定代表人身份证正面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default" w:ascii="Times New Roman" w:hAnsi="Times New Roman" w:cs="Times New Roman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法定代表人授权委托书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名称）法定代表人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授权我单位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（职务或职称）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（姓名）为我单位本次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授权代理人，全权处理台州市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投资集团有限公司机房升级改造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pacing w:val="0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spacing w:val="0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及后续合同签订等的一切事宜。该授权代理人作出的所有承诺说明，我单位均予于认可并承担全部责任。特此授权。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在撤销授权的书面通知以前，本授权书一直有效。被授权人签署的所有文件（在授权有效期内签署的）不因授权的撤销而失效。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授权时间：    年   月   日至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附：被授权代表情况：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 性别：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职务：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通讯地址：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被授权人：（签名）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630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附：被授权人身份证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扫描件（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需同时提供正面及背面</w:t>
      </w: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ageBreakBefore w:val="0"/>
        <w:widowControl w:val="0"/>
        <w:kinsoku/>
        <w:overflowPunct/>
        <w:bidi w:val="0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103505</wp:posOffset>
                </wp:positionV>
                <wp:extent cx="3155950" cy="1961515"/>
                <wp:effectExtent l="4445" t="4445" r="20955" b="1524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身份证背面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13.75pt;margin-top:8.15pt;height:154.45pt;width:248.5pt;z-index:251660288;mso-width-relative:page;mso-height-relative:page;" fillcolor="#FFFFFF" filled="t" stroked="t" coordsize="21600,21600" o:gfxdata="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KsdRdkAAAAKAQAADwAAAAAA&#10;AAABACAAAAAiAAAAZHJzL2Rvd25yZXYueG1sUEsBAhQAFAAAAAgAh07iQG14ufxLAgAAYQQAAA4A&#10;AAAAAAAAAQAgAAAAKA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身份证背面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74930</wp:posOffset>
                </wp:positionV>
                <wp:extent cx="3155315" cy="1971675"/>
                <wp:effectExtent l="4445" t="4445" r="21590" b="5080"/>
                <wp:wrapNone/>
                <wp:docPr id="11" name="流程图: 可选过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21139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>被授权人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身份证正面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贴于此处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37.9pt;margin-top:5.9pt;height:155.25pt;width:248.45pt;z-index:251659264;mso-width-relative:page;mso-height-relative:page;" fillcolor="#FFFFFF" filled="t" stroked="t" coordsize="21600,21600" o:gfxdata="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sKKpB2QAAAAoBAAAPAAAAAAAA&#10;AAEAIAAAACIAAABkcnMvZG93bnJldi54bWxQSwECFAAUAAAACACHTuJAujpci0oCAABjBAAADgAA&#10;AAAAAAABACAAAAAoAQAAZHJzL2Uyb0RvYy54bWxQSwUGAAAAAAYABgBZAQAA5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</w:rPr>
                        <w:t>被授权人</w:t>
                      </w:r>
                      <w:r>
                        <w:rPr>
                          <w:rFonts w:hint="eastAsia"/>
                          <w:szCs w:val="21"/>
                        </w:rPr>
                        <w:t>身份证正面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扫描件</w:t>
                      </w:r>
                      <w:r>
                        <w:rPr>
                          <w:rFonts w:hint="eastAsia"/>
                          <w:szCs w:val="21"/>
                        </w:rPr>
                        <w:t>贴于此处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2" w:firstLineChars="300"/>
        <w:textAlignment w:val="auto"/>
        <w:rPr>
          <w:rFonts w:hint="default" w:ascii="Times New Roman" w:hAnsi="Times New Roman" w:cs="Times New Roman"/>
          <w:b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overflowPunct/>
        <w:bidi w:val="0"/>
        <w:spacing w:line="360" w:lineRule="auto"/>
        <w:textAlignment w:val="auto"/>
        <w:rPr>
          <w:rFonts w:hint="default" w:ascii="Times New Roman" w:hAnsi="Times New Roman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黑体" w:cs="Times New Roman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、不得存在情形承诺函</w:t>
      </w:r>
    </w:p>
    <w:p>
      <w:pPr>
        <w:pStyle w:val="2"/>
        <w:spacing w:line="600" w:lineRule="exact"/>
        <w:rPr>
          <w:rFonts w:hint="default" w:ascii="黑体" w:hAnsi="黑体" w:eastAsia="黑体" w:cs="黑体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附件6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承诺函</w:t>
      </w:r>
    </w:p>
    <w:p>
      <w:pPr>
        <w:spacing w:line="600" w:lineRule="exact"/>
        <w:jc w:val="center"/>
        <w:rPr>
          <w:rFonts w:hint="eastAsia" w:ascii="宋体" w:hAnsi="宋体"/>
          <w:b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我单位具备《中华人民共和国政府采购法》第二十二条的供应商相应条件。如本声明失实，我单位自愿承担被取消成交资格等责任。</w:t>
      </w: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特此声明。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before="0" w:beforeLines="0" w:beforeAutospacing="0" w:after="0" w:afterAutospacing="0" w:line="600" w:lineRule="exact"/>
        <w:textAlignment w:val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（公章）：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 xml:space="preserve">日期：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年  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日</w:t>
      </w:r>
    </w:p>
    <w:p>
      <w:pPr>
        <w:pStyle w:val="11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1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21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3"/>
        <w:ind w:firstLine="21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spacing w:line="600" w:lineRule="exact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highlight w:val="none"/>
          <w:shd w:val="clear" w:color="auto" w:fill="FFFFFF"/>
          <w:lang w:bidi="ar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  <w:color w:val="000000" w:themeColor="text1"/>
          <w:highlight w:val="none"/>
          <w:lang w:bidi="ar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供应商廉洁诚信承诺书</w:t>
      </w:r>
    </w:p>
    <w:p>
      <w:pPr>
        <w:tabs>
          <w:tab w:val="left" w:pos="0"/>
        </w:tabs>
        <w:snapToGrid w:val="0"/>
        <w:spacing w:line="360" w:lineRule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为确保采购活动公平、公开、公正开展，推进廉洁诚信建设，预防商用贿赂和不正当竞争，保障采购活动中各方的合法权益，我公司在参与台州市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投资集团有限公司机房升级改造服务供应商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采购工作时自愿作出如下承诺：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一、严格遵守国家法律法规。坚持廉洁、诚信的原则，恪守商用道德和职业道德规范，不从事并抵制不廉洁、不诚信行为。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二、已采购的服务在执行过程中如遇不可抗拒的因素，要提前与甲方沟通，且服务标准不得低于原标准。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三、严格杜绝以下行为：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（一）给予或以借用等名义向利害关系人提供财物；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（二）向利害关系人提供礼品、宴请以及旅游、健身、娱乐等活动安排；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（三）向利害关系人赠送礼金和各种有价证券、支付凭证等；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（四）支付应由利害关系人负担的费用或报销票据；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（五）隐瞒真实情况，提交虚假资质证明、资信证明、财务证明等材料；进行虚假承诺、夸大产品或服务性能和质量等指标；与其他单位相互勾结、串通，用不正当手段排挤其他竞争者，干扰公平竞争；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（六）其他影响采购活动公平、公开、公正开展及损害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经济利益、形象和声誉的不廉洁、不诚信行为。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四、我公司在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投资集团有限公司机房升级改造服务供应商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采购活动过程中，如利害关系人存在违反有关规定、有失公平或以各种形式向我方及我方人员索取各种利益的行为，我公司将及时举报或投诉，也可向国家有关部门举报。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关于特定关系人与特定事项申报的规定，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采购相关人员将对是否与潜在供应商存在特定关系人、特定关系及请托事项进行申报。我公司将配合相关规定，不隐瞒与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采购相关人员存在的特定关系人及特定事项，并承诺如存在虚假的情况，愿意接受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的相应处罚。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六、我公司相关部门和工作人员将全力支持、配合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有关部门对有关不廉洁、不诚信行为的调查。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七、如违反以上承诺，我公司自愿接受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依据其相关规定，采取包括但不限于如下措施对我公司进行严肃处理：在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内网公示、取消参选/中选资格、列入负面清单、长期终止与我公司合作等。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我公司不廉洁、不诚信行为造成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经济损失和损害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社会形象或声誉的，由我公司予以赔偿。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八、本廉洁诚信承诺书经我公司法定代表人（或法定代表人授权委托人）签字并加盖公司印章后生效。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九、本廉洁诚信承诺书的效力范围既包括采购阶段的行为，也包括合同签订及履行阶段的行为。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十、本承诺书以上所称利害关系人主要包括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台州市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投资集团有限公司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采购有关工作人员、采购有关工作人员亲属及其他共同利益关系人、采购小组成员等。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（盖章）：</w:t>
      </w:r>
    </w:p>
    <w:p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法定代表人（或授权委托人）签字：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  年    月    日</w:t>
      </w:r>
    </w:p>
    <w:p>
      <w:pPr>
        <w:spacing w:line="600" w:lineRule="exact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textAlignment w:val="auto"/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可开具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增值税专用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发票承诺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台州市科创投资集团有限公司：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台州市科创投资集团有限公司机房升级改造服务供应商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spacing w:val="0"/>
          <w:kern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采购项目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中，我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自愿作出如下承诺：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可提供增值税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特此承诺！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响应人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月   日</w:t>
      </w:r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pageBreakBefore w:val="0"/>
        <w:kinsoku/>
        <w:overflowPunct/>
        <w:bidi w:val="0"/>
        <w:spacing w:before="0" w:beforeLines="0" w:after="0" w:line="600" w:lineRule="exact"/>
        <w:ind w:left="0" w:leftChars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七、需要说明的其他资料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line="600" w:lineRule="exact"/>
        <w:ind w:left="0"/>
        <w:textAlignment w:val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八、报价单</w:t>
      </w:r>
    </w:p>
    <w:tbl>
      <w:tblPr>
        <w:tblStyle w:val="13"/>
        <w:tblW w:w="1258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113"/>
        <w:gridCol w:w="6637"/>
        <w:gridCol w:w="818"/>
        <w:gridCol w:w="765"/>
        <w:gridCol w:w="1215"/>
        <w:gridCol w:w="1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主要技术参数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品牌型号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一、机房改造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模块化一体机柜（三联柜）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3连柜（1动力柜+2 IT柜），带1台风冷型机架式≥8KW变频制冷模块，含动环监控系统，可用空间≥100U。标准配置≥7寸嵌入式触摸屏。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1、柜体：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单机柜尺寸600*1280*2000mm；冷热通道全密闭，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前门采用5+6A+5中空玻璃金属镶边，后门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封闭式钢板门；前后门采用四周双层结构，并配置旋转式4位机械密码锁；（提供相关材料证明）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内置感应智能灯光系统：平时灯光系统关闭，感应人员呈现蓝色氛围灯，柜体内前后顶部设有220V LED照明灯，与柜体一体式融合设计；隐藏内嵌式安装工艺，设有智能传感装置，可实现开门灯亮，关门灯灭，前后独立控制；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2、智能配电模块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：机架式设计；为 IT 设备提供两路完全独立的电源，一路UPS不间断电源，一路市电；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市电输入：63A/3P，配置智能电量仪，C级防雷保护；1路UPS输入开关 63A/1P；1路UPS输出开关63A/1P；1路手动维修旁路开关63A/2P；2路空调控制开关32A/1P；10路PDU控制开关16A/1P(市电、UPS各5路)；含柜体照明、应急风扇UPS配电；安装高度：≤7U。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3、风冷机架式空调：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≥8KW风冷型绿色变频机架式空调，空调独立室外机；提供中国强制性产品认证的CCC认证及CQC节能认证；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采用R410A环保制冷剂，标配电加热与排水泵；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采用直流变频压缩机、电子膨胀阀，无级调速EC风机；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全年能效比≥5.1，要求能效指标达到1级，并提供具有CMA和CNAS标识的第三方检验报告。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4、智能管理模块：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集成7寸嵌入式触摸屏和监控主机，实现柜内环境、基础设施设备本地化管理、手机APP（Android和IOS）、短信和Email 报警功能，支持远程集中管理，监控数据可断点续传；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动环软件远程接入：单个节点机房接入统一监控，告警短信通知（最多绑定3个联系人，不限短信条数）；大数据分析预测性维护提醒、预警优化建议；专业工程师远程技术支持（故障排查指导、技术问题指导）；项目交付后，提供7*24小时远程（通过专网形式，数据通信与互联网隔离）运维支持服务；支持微信小程序或公众号自行查看机房实时状态信息；定期提供单个节点机房的运行维护总结报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系统软件应符合GB/T2500.51-2016要求中在不低于10条环境关键信息报警信息准确率≥99.9%，并提供第三方测评报告；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产品安全性需满足GB/T 20984-2007信息安全风险评估规范，并提供第三方测试报告。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5、其他：每个IT柜含≥1个16口PDU、1个导轨、1个层板、1个理线架、20块盲板；机柜柜顶配置强电和弱电桥架各1套。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6、整机及配件静电放电抗扰度均达到测试等级B级以上，需要提供具有CMA和CNAS标识的第三方检测检验报告。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7、整体电源使用效率（EEUE/PUE值）要求达到≤1.2，需要提供第三方检测检验报告。</w:t>
            </w: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8、原厂质保三年，需提供相关证明。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5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2、新增UPS不间断电源系统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UPS不间断电源主机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8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10KVA机架式UPS主机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输入特性：采用三电平技术；电压范围(Vac) :138~485（线电压）；频率范围（Hz） :40~70；输入功率因数 :满载&gt;0.99；输入电流谐波 :≤3% ；   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输出特性：额定电压(Vac) :380/400/415(线电压）；输出功率因数 :0.9（在0~40℃可达1.0） ；稳压精度 : &lt;1%；输出频率（Hz） :50/60±0.1 ；波形失真度（THDv） :线性满载≤1%；非线性满载≤4%；切换时间（ms） :0 ；   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过载能力 : 115％以下：长时间运行；115％~130％：10min；130％~155％：1min；＞155%：200ms ；   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整机效率 : 高达96% ；  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保护功能 : 双键组合开关机保护；具备输出过载、短路；电池欠压、过压；充电过温、短路；交流输入电压、频率、相序异常；UPS过温、风机故障等等 ；   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工作温度（℃） :-5~40 。  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阀控式铅酸蓄电池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1、标称电压：12V，额定容量：150Ah（20HR 1.75V/C 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须符合中华人民共和国信息产业部YD/T799-2010《通信用阀控式密封铅酸蓄电池》标准；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结构要求：正负极端子有明显标志，便于链接；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气密性：能承受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50KPa正压或负压而不破裂、不开胶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变形；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防爆性能：充电过程中，遇到明火，内部不引爆，不引燃；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封口剂性能：环境温度在-30℃~+65℃之间，封口剂无裂纹与溢流现象；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容量保存率：完全充电的蓄电池，在25±2°的环境中，静置28天后，其容量保持率应在97%以上（12V）；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密封反应效率：96.5%以上；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电池间连接电压降≤5mV；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蓄电池安全阀有自动开启和关闭功能，开阀压10--35kPa，闭阀压3--30kPa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"/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11、原厂质保三年，需提供相关证明。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电池箱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16节150AH电池箱；包含电池间连接线10平方及直流空开63A/2P，含架并机线及连接到UPS的10平方电缆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UPS输入电缆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UPS不间断电源主机输入总电缆，0ZR-YJV 4*16+1*6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空调辅材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包含1套7.5kW机架式变频空调铜管、保温管、包扎带、电缆敷设等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258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3、机房配套设施升级改造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机柜底座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5#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方钢定制根据机柜的具体尺寸定制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电池箱底座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0"/>
                <w:rFonts w:eastAsia="宋体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5#</w:t>
            </w:r>
            <w:r>
              <w:rPr>
                <w:rStyle w:val="19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方钢定制根据机柜的具体尺寸定制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硫酸钙活动地板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规格；600*600*32mm ，型号；HDW，面层；HPL，耐磨性能；≥3000转，基材；选用高强度硫酸钙基材，底部；镀锌钢板，四周；黑色导静电胶条，支架；挂式支架、管式支架，载重力20KN以上（上托厚度3mm、下托厚度3mm、管壁厚度1.2mm、衡梁厚度1mm），防火等级；A级不燃。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3.4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集成实施服务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原分机房网络设备迁移至数据机房，完成强电、弱电等线缆敷设，设备上架调试等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pageBreakBefore w:val="0"/>
        <w:kinsoku/>
        <w:overflowPunct/>
        <w:bidi w:val="0"/>
        <w:spacing w:before="0" w:beforeLines="0" w:after="0" w:line="60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7" w:charSpace="0"/>
        </w:sectPr>
      </w:pPr>
    </w:p>
    <w:p>
      <w:pPr>
        <w:pStyle w:val="4"/>
        <w:pageBreakBefore w:val="0"/>
        <w:kinsoku/>
        <w:overflowPunct/>
        <w:bidi w:val="0"/>
        <w:spacing w:before="0" w:beforeLines="0" w:after="0" w:line="60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文件密封封套格式</w:t>
      </w:r>
    </w:p>
    <w:tbl>
      <w:tblPr>
        <w:tblStyle w:val="13"/>
        <w:tblW w:w="90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6" w:hRule="atLeast"/>
        </w:trPr>
        <w:tc>
          <w:tcPr>
            <w:tcW w:w="9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台州市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投资集团有限公司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机房升级改造服务供应商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>采购项目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单位法定代表人或其委托代理人：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签字）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响应人联系电话：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32"/>
                <w:szCs w:val="32"/>
                <w:highlight w:val="none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bookmarkStart w:id="1" w:name="_Toc373770188"/>
      <w:bookmarkStart w:id="2" w:name="_Toc400976719"/>
      <w:bookmarkStart w:id="3" w:name="_Toc396814297"/>
    </w:p>
    <w:p>
      <w:pPr>
        <w:pageBreakBefore w:val="0"/>
        <w:kinsoku/>
        <w:overflowPunct/>
        <w:bidi w:val="0"/>
        <w:spacing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封口格式</w:t>
      </w:r>
      <w:bookmarkEnd w:id="1"/>
      <w:bookmarkEnd w:id="2"/>
      <w:bookmarkEnd w:id="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：</w:t>
      </w:r>
    </w:p>
    <w:tbl>
      <w:tblPr>
        <w:tblStyle w:val="13"/>
        <w:tblW w:w="90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9094" w:type="dxa"/>
            <w:vAlign w:val="center"/>
          </w:tcPr>
          <w:p>
            <w:pPr>
              <w:pageBreakBefore w:val="0"/>
              <w:kinsoku/>
              <w:overflowPunct/>
              <w:bidi w:val="0"/>
              <w:spacing w:line="600" w:lineRule="exact"/>
              <w:ind w:left="0" w:leftChars="0" w:right="0"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1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1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------于  年  月  日  之前不准启封（公章）------</w:t>
            </w:r>
          </w:p>
        </w:tc>
      </w:tr>
    </w:tbl>
    <w:p>
      <w:pPr>
        <w:pStyle w:val="2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7064BD-0A33-43EA-9D43-8706CC5C5B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BAD67AF-C722-4137-B205-A828395CC7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EEA78B7-012A-4C6F-B2A1-3B20759839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D346C6D-F30C-4500-98AD-B0AC1685CC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Times New Roman" w:hAnsi="Times New Roman" w:eastAsia="宋体" w:cs="Times New Roman"/>
        <w:kern w:val="2"/>
        <w:sz w:val="28"/>
        <w:szCs w:val="28"/>
        <w:lang w:val="en-US" w:eastAsia="zh-CN" w:bidi="ar-SA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-161925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14</w:t>
                          </w:r>
                          <w:r>
                            <w:rPr>
                              <w:rFonts w:hint="eastAsia" w:ascii="仿宋" w:hAnsi="仿宋" w:eastAsia="仿宋" w:cs="仿宋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.75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kX2A0N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JF9gNDWAAAACAEAAA8AAAAAAAAA&#10;AQAgAAAAIgAAAGRycy9kb3ducmV2LnhtbFBLAQIUABQAAAAIAIdO4kAF3HKwEwIAABM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Style w:val="16"/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t>14</w:t>
                    </w:r>
                    <w:r>
                      <w:rPr>
                        <w:rFonts w:hint="eastAsia" w:ascii="仿宋" w:hAnsi="仿宋" w:eastAsia="仿宋" w:cs="仿宋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4206"/>
    <w:rsid w:val="01233DE3"/>
    <w:rsid w:val="014D0B1B"/>
    <w:rsid w:val="02AC7103"/>
    <w:rsid w:val="038E58C1"/>
    <w:rsid w:val="03FD6C0D"/>
    <w:rsid w:val="04477AA3"/>
    <w:rsid w:val="052027CE"/>
    <w:rsid w:val="05330C89"/>
    <w:rsid w:val="068C0A3B"/>
    <w:rsid w:val="08624EAC"/>
    <w:rsid w:val="09E71B0D"/>
    <w:rsid w:val="0A6749FB"/>
    <w:rsid w:val="0AC32BEA"/>
    <w:rsid w:val="0AC93A32"/>
    <w:rsid w:val="0D112AB1"/>
    <w:rsid w:val="0D8C5246"/>
    <w:rsid w:val="0EB12299"/>
    <w:rsid w:val="0F20786F"/>
    <w:rsid w:val="0FAA7BE4"/>
    <w:rsid w:val="100B6A1F"/>
    <w:rsid w:val="106A0DA2"/>
    <w:rsid w:val="106A7BFD"/>
    <w:rsid w:val="107B59E5"/>
    <w:rsid w:val="10ED665C"/>
    <w:rsid w:val="11872CC9"/>
    <w:rsid w:val="128F7BF1"/>
    <w:rsid w:val="13252D01"/>
    <w:rsid w:val="13274D28"/>
    <w:rsid w:val="13ED515F"/>
    <w:rsid w:val="161A763A"/>
    <w:rsid w:val="164500E2"/>
    <w:rsid w:val="16CC4853"/>
    <w:rsid w:val="17D40E62"/>
    <w:rsid w:val="19C24EF5"/>
    <w:rsid w:val="1B483EAB"/>
    <w:rsid w:val="1B6A5426"/>
    <w:rsid w:val="1CD35F20"/>
    <w:rsid w:val="1E4A35C1"/>
    <w:rsid w:val="21C00BC8"/>
    <w:rsid w:val="21CC1133"/>
    <w:rsid w:val="21D1768A"/>
    <w:rsid w:val="21EB5ABA"/>
    <w:rsid w:val="22477195"/>
    <w:rsid w:val="22C72083"/>
    <w:rsid w:val="23754AA7"/>
    <w:rsid w:val="24044C0A"/>
    <w:rsid w:val="24D316FD"/>
    <w:rsid w:val="25C40AFC"/>
    <w:rsid w:val="2629602A"/>
    <w:rsid w:val="263C4B36"/>
    <w:rsid w:val="291E097D"/>
    <w:rsid w:val="29212C0B"/>
    <w:rsid w:val="29581C87"/>
    <w:rsid w:val="2A0A3D5E"/>
    <w:rsid w:val="2A2944A3"/>
    <w:rsid w:val="2AA1765E"/>
    <w:rsid w:val="2B8723B0"/>
    <w:rsid w:val="2B90057E"/>
    <w:rsid w:val="2BD44FDA"/>
    <w:rsid w:val="2C0D1BD3"/>
    <w:rsid w:val="2C394011"/>
    <w:rsid w:val="2E7C6418"/>
    <w:rsid w:val="2E9A2830"/>
    <w:rsid w:val="2EB01C1E"/>
    <w:rsid w:val="2FCA6D0F"/>
    <w:rsid w:val="33437D7A"/>
    <w:rsid w:val="336267AA"/>
    <w:rsid w:val="35AD4F44"/>
    <w:rsid w:val="36800B37"/>
    <w:rsid w:val="387C0DC3"/>
    <w:rsid w:val="39422F00"/>
    <w:rsid w:val="3B747739"/>
    <w:rsid w:val="3B9A1A23"/>
    <w:rsid w:val="3E4A7DCA"/>
    <w:rsid w:val="3F6E3B5B"/>
    <w:rsid w:val="3F6F3897"/>
    <w:rsid w:val="401818B4"/>
    <w:rsid w:val="44776EF3"/>
    <w:rsid w:val="44B438D7"/>
    <w:rsid w:val="44DC6EB6"/>
    <w:rsid w:val="46DA75D1"/>
    <w:rsid w:val="47217B20"/>
    <w:rsid w:val="47275C16"/>
    <w:rsid w:val="481026C8"/>
    <w:rsid w:val="48BA1BBF"/>
    <w:rsid w:val="4A3C6219"/>
    <w:rsid w:val="4B10018E"/>
    <w:rsid w:val="4B566B9E"/>
    <w:rsid w:val="4EA46E1D"/>
    <w:rsid w:val="509176A9"/>
    <w:rsid w:val="53755060"/>
    <w:rsid w:val="55EC1538"/>
    <w:rsid w:val="56A570B5"/>
    <w:rsid w:val="56B92083"/>
    <w:rsid w:val="56DE17D0"/>
    <w:rsid w:val="581566AC"/>
    <w:rsid w:val="5AF40332"/>
    <w:rsid w:val="5D6275B7"/>
    <w:rsid w:val="5D663C6C"/>
    <w:rsid w:val="5E395DDF"/>
    <w:rsid w:val="60FD7885"/>
    <w:rsid w:val="63770981"/>
    <w:rsid w:val="63D46210"/>
    <w:rsid w:val="64D02DAE"/>
    <w:rsid w:val="66603876"/>
    <w:rsid w:val="668F40C6"/>
    <w:rsid w:val="687C50D2"/>
    <w:rsid w:val="691F3263"/>
    <w:rsid w:val="695E6EA7"/>
    <w:rsid w:val="69A84371"/>
    <w:rsid w:val="6A1167B8"/>
    <w:rsid w:val="6B9C2CA3"/>
    <w:rsid w:val="6C4C5815"/>
    <w:rsid w:val="6D5E4506"/>
    <w:rsid w:val="6F481512"/>
    <w:rsid w:val="714C4113"/>
    <w:rsid w:val="720327B3"/>
    <w:rsid w:val="7342272F"/>
    <w:rsid w:val="74F6038B"/>
    <w:rsid w:val="76F0371D"/>
    <w:rsid w:val="774C32E5"/>
    <w:rsid w:val="77881895"/>
    <w:rsid w:val="78A94498"/>
    <w:rsid w:val="79074AEA"/>
    <w:rsid w:val="7A14550B"/>
    <w:rsid w:val="7E58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7"/>
    <w:next w:val="7"/>
    <w:unhideWhenUsed/>
    <w:qFormat/>
    <w:uiPriority w:val="9"/>
    <w:pPr>
      <w:keepNext/>
      <w:keepLines/>
      <w:spacing w:before="260" w:after="260" w:line="416" w:lineRule="auto"/>
      <w:ind w:firstLine="200" w:firstLineChars="200"/>
      <w:jc w:val="left"/>
      <w:outlineLvl w:val="2"/>
    </w:pPr>
    <w:rPr>
      <w:rFonts w:ascii="Songti SC" w:hAnsi="Songti SC" w:eastAsia="Songti SC" w:cs="Songti SC"/>
      <w:b/>
      <w:bCs/>
      <w:sz w:val="32"/>
      <w:szCs w:val="32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ascii="宋体" w:hAnsi="宋体" w:eastAsia="宋体" w:cs="Times New Roman"/>
      <w:color w:val="000000"/>
      <w:kern w:val="1"/>
      <w:szCs w:val="20"/>
    </w:rPr>
  </w:style>
  <w:style w:type="paragraph" w:styleId="7">
    <w:name w:val="Normal Indent"/>
    <w:basedOn w:val="1"/>
    <w:next w:val="1"/>
    <w:qFormat/>
    <w:uiPriority w:val="0"/>
    <w:pPr>
      <w:ind w:firstLine="420"/>
    </w:pPr>
  </w:style>
  <w:style w:type="paragraph" w:styleId="8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itle"/>
    <w:basedOn w:val="1"/>
    <w:next w:val="1"/>
    <w:qFormat/>
    <w:uiPriority w:val="0"/>
    <w:pPr>
      <w:overflowPunct w:val="0"/>
      <w:autoSpaceDE w:val="0"/>
      <w:autoSpaceDN w:val="0"/>
      <w:jc w:val="center"/>
      <w:textAlignment w:val="baseline"/>
    </w:pPr>
    <w:rPr>
      <w:b/>
      <w:sz w:val="24"/>
      <w:szCs w:val="20"/>
    </w:rPr>
  </w:style>
  <w:style w:type="paragraph" w:styleId="12">
    <w:name w:val="Body Text First Indent 2"/>
    <w:basedOn w:val="8"/>
    <w:next w:val="1"/>
    <w:qFormat/>
    <w:uiPriority w:val="0"/>
    <w:pPr>
      <w:spacing w:afterLines="0" w:line="240" w:lineRule="auto"/>
      <w:ind w:left="420" w:leftChars="200"/>
    </w:pPr>
    <w:rPr>
      <w:rFonts w:ascii="Arial" w:hAnsi="Arial"/>
      <w:sz w:val="21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page number"/>
    <w:basedOn w:val="15"/>
    <w:qFormat/>
    <w:uiPriority w:val="0"/>
  </w:style>
  <w:style w:type="paragraph" w:customStyle="1" w:styleId="1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18">
    <w:name w:val="font71"/>
    <w:basedOn w:val="1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9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8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styleId="21">
    <w:name w:val="List Paragraph"/>
    <w:basedOn w:val="1"/>
    <w:qFormat/>
    <w:uiPriority w:val="34"/>
    <w:pPr>
      <w:ind w:firstLine="420" w:firstLineChars="200"/>
    </w:pPr>
    <w:rPr>
      <w:rFonts w:ascii="Arial" w:hAnsi="Arial"/>
      <w:sz w:val="2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6336</Words>
  <Characters>7270</Characters>
  <Lines>0</Lines>
  <Paragraphs>0</Paragraphs>
  <TotalTime>13</TotalTime>
  <ScaleCrop>false</ScaleCrop>
  <LinksUpToDate>false</LinksUpToDate>
  <CharactersWithSpaces>8134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2025-06-25T07:17:00Z</dcterms:created>
  <dc:creator>62677</dc:creator>
  <cp:lastModifiedBy>王心怡</cp:lastModifiedBy>
  <cp:lastPrinted>2025-07-02T01:03:00Z</cp:lastPrinted>
  <dcterms:modified xsi:type="dcterms:W3CDTF">2025-08-29T07:17:08Z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eyJoZGlkIjoiYzkzZDA2MDBlMDRhYTk0YjI0MThiZDkyYTE0ZDZmN2EiLCJ1c2VySWQiOiIyMDUwMjYwNjIifQ==</vt:lpwstr>
  </property>
  <property fmtid="{D5CDD505-2E9C-101B-9397-08002B2CF9AE}" pid="4" name="ICV">
    <vt:lpwstr>1DCF579026E048FB8E5341F3B1E3313B_13</vt:lpwstr>
  </property>
</Properties>
</file>